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738" w:rsidRDefault="009374F1">
      <w:pPr>
        <w:pStyle w:val="Firstlineindent"/>
        <w:ind w:firstLine="708"/>
        <w:jc w:val="center"/>
        <w:rPr>
          <w:rFonts w:ascii="Times New Roman" w:eastAsia="Calibri" w:hAnsi="Times New Roman"/>
          <w:b/>
          <w:bCs/>
          <w:color w:val="000000"/>
          <w:sz w:val="30"/>
          <w:szCs w:val="30"/>
          <w:lang w:val="ru-RU" w:eastAsia="en-US"/>
        </w:rPr>
      </w:pPr>
      <w:bookmarkStart w:id="0" w:name="_GoBack"/>
      <w:bookmarkEnd w:id="0"/>
      <w:r>
        <w:rPr>
          <w:rFonts w:ascii="Times New Roman" w:eastAsia="Times New Roman" w:hAnsi="Times New Roman" w:cs="Times New Roman"/>
          <w:b/>
          <w:bCs/>
          <w:sz w:val="30"/>
          <w:szCs w:val="30"/>
          <w:lang w:val="ru-RU"/>
        </w:rPr>
        <w:t>Методические рекомендации по осуществлен</w:t>
      </w:r>
      <w:r w:rsidR="00BE213F" w:rsidRPr="008E6915">
        <w:rPr>
          <w:rFonts w:ascii="Times New Roman" w:eastAsia="Times New Roman" w:hAnsi="Times New Roman" w:cs="Times New Roman"/>
          <w:b/>
          <w:bCs/>
          <w:sz w:val="30"/>
          <w:szCs w:val="30"/>
          <w:lang w:val="ru-RU"/>
        </w:rPr>
        <w:t>и</w:t>
      </w:r>
      <w:r>
        <w:rPr>
          <w:rFonts w:ascii="Times New Roman" w:eastAsia="Times New Roman" w:hAnsi="Times New Roman" w:cs="Times New Roman"/>
          <w:b/>
          <w:bCs/>
          <w:sz w:val="30"/>
          <w:szCs w:val="30"/>
          <w:lang w:val="ru-RU"/>
        </w:rPr>
        <w:t xml:space="preserve">ю </w:t>
      </w:r>
      <w:r w:rsidR="00BE213F" w:rsidRPr="008E6915">
        <w:rPr>
          <w:rFonts w:ascii="Times New Roman" w:hAnsi="Times New Roman" w:cs="Times New Roman"/>
          <w:b/>
          <w:bCs/>
          <w:sz w:val="30"/>
          <w:szCs w:val="30"/>
          <w:lang w:val="ru-RU"/>
        </w:rPr>
        <w:t xml:space="preserve">государственного кадастрового учета и государственной регистрации прав в </w:t>
      </w:r>
      <w:proofErr w:type="gramStart"/>
      <w:r w:rsidR="00BE213F" w:rsidRPr="008E6915">
        <w:rPr>
          <w:rFonts w:ascii="Times New Roman" w:hAnsi="Times New Roman" w:cs="Times New Roman"/>
          <w:b/>
          <w:bCs/>
          <w:sz w:val="30"/>
          <w:szCs w:val="30"/>
          <w:lang w:val="ru-RU"/>
        </w:rPr>
        <w:t>отношении</w:t>
      </w:r>
      <w:proofErr w:type="gramEnd"/>
      <w:r w:rsidR="00BE213F" w:rsidRPr="008E6915">
        <w:rPr>
          <w:rFonts w:ascii="Times New Roman" w:hAnsi="Times New Roman" w:cs="Times New Roman"/>
          <w:b/>
          <w:bCs/>
          <w:sz w:val="30"/>
          <w:szCs w:val="30"/>
          <w:lang w:val="ru-RU"/>
        </w:rPr>
        <w:t xml:space="preserve"> со</w:t>
      </w:r>
      <w:r>
        <w:rPr>
          <w:rFonts w:ascii="Times New Roman" w:hAnsi="Times New Roman" w:cs="Times New Roman"/>
          <w:b/>
          <w:bCs/>
          <w:sz w:val="30"/>
          <w:szCs w:val="30"/>
          <w:lang w:val="ru-RU"/>
        </w:rPr>
        <w:t xml:space="preserve">зданного (реконструированного) </w:t>
      </w:r>
      <w:r>
        <w:rPr>
          <w:rFonts w:ascii="Times New Roman" w:eastAsia="Calibri" w:hAnsi="Times New Roman"/>
          <w:b/>
          <w:bCs/>
          <w:color w:val="000000"/>
          <w:sz w:val="30"/>
          <w:szCs w:val="30"/>
          <w:lang w:val="ru-RU" w:eastAsia="en-US"/>
        </w:rPr>
        <w:t xml:space="preserve">объекта </w:t>
      </w:r>
      <w:r w:rsidR="00BE213F" w:rsidRPr="008E6915">
        <w:rPr>
          <w:rFonts w:ascii="Times New Roman" w:eastAsia="Calibri" w:hAnsi="Times New Roman"/>
          <w:b/>
          <w:bCs/>
          <w:color w:val="000000"/>
          <w:sz w:val="30"/>
          <w:szCs w:val="30"/>
          <w:lang w:val="ru-RU" w:eastAsia="en-US"/>
        </w:rPr>
        <w:t>индивидуального жилищного строит</w:t>
      </w:r>
      <w:r>
        <w:rPr>
          <w:rFonts w:ascii="Times New Roman" w:eastAsia="Calibri" w:hAnsi="Times New Roman"/>
          <w:b/>
          <w:bCs/>
          <w:color w:val="000000"/>
          <w:sz w:val="30"/>
          <w:szCs w:val="30"/>
          <w:lang w:val="ru-RU" w:eastAsia="en-US"/>
        </w:rPr>
        <w:t xml:space="preserve">ельства.   </w:t>
      </w:r>
      <w:r w:rsidR="00BE213F" w:rsidRPr="008E6915">
        <w:rPr>
          <w:rFonts w:ascii="Times New Roman" w:eastAsia="Calibri" w:hAnsi="Times New Roman"/>
          <w:b/>
          <w:bCs/>
          <w:color w:val="000000"/>
          <w:sz w:val="30"/>
          <w:szCs w:val="30"/>
          <w:lang w:val="ru-RU" w:eastAsia="en-US"/>
        </w:rPr>
        <w:t xml:space="preserve"> </w:t>
      </w:r>
    </w:p>
    <w:p w:rsidR="009374F1" w:rsidRPr="008E6915" w:rsidRDefault="009374F1">
      <w:pPr>
        <w:pStyle w:val="Firstlineindent"/>
        <w:ind w:firstLine="708"/>
        <w:jc w:val="center"/>
        <w:rPr>
          <w:rFonts w:ascii="Times New Roman" w:eastAsia="Times New Roman" w:hAnsi="Times New Roman" w:cs="Times New Roman"/>
          <w:b/>
          <w:bCs/>
          <w:sz w:val="30"/>
          <w:szCs w:val="30"/>
          <w:lang w:val="ru-RU"/>
        </w:rPr>
      </w:pPr>
    </w:p>
    <w:p w:rsidR="009C6738" w:rsidRPr="008E6915" w:rsidRDefault="00BE213F">
      <w:pPr>
        <w:pStyle w:val="Firstlineindent"/>
        <w:ind w:firstLine="708"/>
        <w:rPr>
          <w:rFonts w:ascii="Times New Roman" w:eastAsia="Times New Roman" w:hAnsi="Times New Roman" w:cs="Times New Roman"/>
          <w:lang w:val="ru-RU"/>
        </w:rPr>
      </w:pPr>
      <w:r w:rsidRPr="008E6915">
        <w:rPr>
          <w:rFonts w:ascii="Times New Roman" w:eastAsia="Times New Roman" w:hAnsi="Times New Roman" w:cs="Times New Roman"/>
          <w:lang w:val="ru-RU"/>
        </w:rPr>
        <w:t xml:space="preserve">Информация о построенных населением объектах ИЖС предоставляется Управлением </w:t>
      </w:r>
      <w:proofErr w:type="spellStart"/>
      <w:r w:rsidRPr="008E6915">
        <w:rPr>
          <w:rFonts w:ascii="Times New Roman" w:eastAsia="Times New Roman" w:hAnsi="Times New Roman" w:cs="Times New Roman"/>
          <w:lang w:val="ru-RU"/>
        </w:rPr>
        <w:t>Росреестра</w:t>
      </w:r>
      <w:proofErr w:type="spellEnd"/>
      <w:r w:rsidRPr="008E6915">
        <w:rPr>
          <w:rFonts w:ascii="Times New Roman" w:eastAsia="Times New Roman" w:hAnsi="Times New Roman" w:cs="Times New Roman"/>
          <w:lang w:val="ru-RU"/>
        </w:rPr>
        <w:t xml:space="preserve"> по Саратовской области на основании сведений Единого государственного реестра недвижимости (далее - ЕГРН) в соответствии с приказом Росстата от 30.12.2022 № 998 (в редакции приказа Росстата от 09.10.2023 № 502) в установленной форме.</w:t>
      </w:r>
    </w:p>
    <w:p w:rsidR="009C6738" w:rsidRPr="008E6915" w:rsidRDefault="00BE213F">
      <w:pPr>
        <w:pStyle w:val="Firstlineindent"/>
        <w:ind w:firstLine="0"/>
        <w:rPr>
          <w:rFonts w:ascii="Times New Roman" w:hAnsi="Times New Roman" w:cs="Times New Roman"/>
          <w:lang w:val="ru-RU"/>
        </w:rPr>
      </w:pPr>
      <w:r w:rsidRPr="008E6915">
        <w:rPr>
          <w:rFonts w:ascii="Times New Roman" w:eastAsia="Times New Roman" w:hAnsi="Times New Roman" w:cs="Times New Roman"/>
          <w:lang w:val="ru-RU"/>
        </w:rPr>
        <w:t xml:space="preserve">     </w:t>
      </w:r>
      <w:r w:rsidRPr="008E6915">
        <w:rPr>
          <w:rFonts w:ascii="Times New Roman" w:eastAsia="Times New Roman" w:hAnsi="Times New Roman" w:cs="Times New Roman"/>
          <w:color w:val="000000"/>
          <w:szCs w:val="28"/>
          <w:lang w:val="ru-RU"/>
        </w:rPr>
        <w:t xml:space="preserve">     Данные по объектам ИЖС отражаются за тот период (месяц), в котором был впервые подтвержден факт их ввода (присвоен кадастровый номер территориальным органом </w:t>
      </w:r>
      <w:proofErr w:type="spellStart"/>
      <w:r w:rsidRPr="008E6915">
        <w:rPr>
          <w:rFonts w:ascii="Times New Roman" w:eastAsia="Times New Roman" w:hAnsi="Times New Roman" w:cs="Times New Roman"/>
          <w:color w:val="000000"/>
          <w:szCs w:val="28"/>
          <w:lang w:val="ru-RU"/>
        </w:rPr>
        <w:t>Росреестра</w:t>
      </w:r>
      <w:proofErr w:type="spellEnd"/>
      <w:r w:rsidRPr="008E6915">
        <w:rPr>
          <w:rFonts w:ascii="Times New Roman" w:eastAsia="Times New Roman" w:hAnsi="Times New Roman" w:cs="Times New Roman"/>
          <w:color w:val="000000"/>
          <w:szCs w:val="28"/>
          <w:lang w:val="ru-RU"/>
        </w:rPr>
        <w:t xml:space="preserve">). </w:t>
      </w:r>
      <w:r w:rsidRPr="008E6915">
        <w:rPr>
          <w:rFonts w:ascii="Times New Roman" w:eastAsia="Times New Roman" w:hAnsi="Times New Roman" w:cs="Times New Roman"/>
          <w:b/>
          <w:bCs/>
          <w:color w:val="000000"/>
          <w:szCs w:val="28"/>
          <w:lang w:val="ru-RU"/>
        </w:rPr>
        <w:t xml:space="preserve">В форме отражаются </w:t>
      </w:r>
      <w:r w:rsidRPr="008E6915">
        <w:rPr>
          <w:rFonts w:ascii="Times New Roman" w:eastAsia="Times New Roman" w:hAnsi="Times New Roman" w:cs="Times New Roman"/>
          <w:b/>
          <w:bCs/>
          <w:color w:val="000000"/>
          <w:szCs w:val="28"/>
          <w:shd w:val="clear" w:color="auto" w:fill="FFFFFF"/>
          <w:lang w:val="ru-RU"/>
        </w:rPr>
        <w:t xml:space="preserve"> объекты ИЖС, с годом завершения строительства не более десяти лет, предшествующих отчетному году.</w:t>
      </w:r>
    </w:p>
    <w:p w:rsidR="009C6738" w:rsidRPr="008E6915" w:rsidRDefault="00BE213F">
      <w:pPr>
        <w:pStyle w:val="Firstlineindent"/>
        <w:ind w:firstLine="0"/>
        <w:rPr>
          <w:rFonts w:ascii="Times New Roman" w:hAnsi="Times New Roman" w:cs="Times New Roman"/>
          <w:lang w:val="ru-RU"/>
        </w:rPr>
      </w:pPr>
      <w:r w:rsidRPr="008E6915">
        <w:rPr>
          <w:rFonts w:ascii="Times New Roman" w:eastAsia="Times New Roman" w:hAnsi="Times New Roman" w:cs="Times New Roman"/>
          <w:b/>
          <w:bCs/>
          <w:color w:val="000000"/>
          <w:szCs w:val="28"/>
          <w:shd w:val="clear" w:color="auto" w:fill="FFFFFF"/>
          <w:lang w:val="ru-RU"/>
        </w:rPr>
        <w:t xml:space="preserve">     </w:t>
      </w:r>
      <w:r w:rsidRPr="008E6915">
        <w:rPr>
          <w:rFonts w:ascii="Times New Roman" w:eastAsia="Times New Roman" w:hAnsi="Times New Roman" w:cs="Times New Roman"/>
          <w:color w:val="000000"/>
          <w:szCs w:val="28"/>
          <w:shd w:val="clear" w:color="auto" w:fill="FFFFFF"/>
          <w:lang w:val="ru-RU"/>
        </w:rPr>
        <w:t xml:space="preserve">     В форму не включаются данные по не завершенным строительством жилым домам и зданиям, пригодным только для сезонного или временного проживания — садовым домам.</w:t>
      </w:r>
    </w:p>
    <w:p w:rsidR="009C6738" w:rsidRDefault="009C6738">
      <w:pPr>
        <w:spacing w:after="0" w:line="240" w:lineRule="auto"/>
        <w:jc w:val="center"/>
        <w:rPr>
          <w:rFonts w:ascii="Times New Roman" w:eastAsia="Calibri" w:hAnsi="Times New Roman"/>
          <w:b/>
          <w:bCs/>
          <w:color w:val="000000"/>
          <w:sz w:val="28"/>
          <w:szCs w:val="28"/>
        </w:rPr>
      </w:pPr>
    </w:p>
    <w:p w:rsidR="009C6738" w:rsidRDefault="00BE213F">
      <w:pPr>
        <w:pStyle w:val="af9"/>
        <w:numPr>
          <w:ilvl w:val="0"/>
          <w:numId w:val="2"/>
        </w:numPr>
        <w:spacing w:after="0" w:line="240" w:lineRule="auto"/>
        <w:ind w:left="0" w:firstLine="0"/>
        <w:jc w:val="center"/>
        <w:rPr>
          <w:rFonts w:ascii="Times New Roman" w:eastAsia="Calibri" w:hAnsi="Times New Roman"/>
          <w:b/>
          <w:color w:val="000000"/>
          <w:sz w:val="28"/>
          <w:szCs w:val="28"/>
        </w:rPr>
      </w:pPr>
      <w:r>
        <w:rPr>
          <w:rFonts w:ascii="Times New Roman" w:hAnsi="Times New Roman" w:cs="Times New Roman"/>
          <w:b/>
          <w:sz w:val="28"/>
          <w:szCs w:val="28"/>
        </w:rPr>
        <w:t xml:space="preserve">Порядок государственного кадастрового учета и (или) государственной регистрации прав в </w:t>
      </w:r>
      <w:proofErr w:type="gramStart"/>
      <w:r>
        <w:rPr>
          <w:rFonts w:ascii="Times New Roman" w:hAnsi="Times New Roman" w:cs="Times New Roman"/>
          <w:b/>
          <w:sz w:val="28"/>
          <w:szCs w:val="28"/>
        </w:rPr>
        <w:t>отношении</w:t>
      </w:r>
      <w:proofErr w:type="gramEnd"/>
      <w:r>
        <w:rPr>
          <w:rFonts w:ascii="Times New Roman" w:hAnsi="Times New Roman" w:cs="Times New Roman"/>
          <w:b/>
          <w:sz w:val="28"/>
          <w:szCs w:val="28"/>
        </w:rPr>
        <w:t xml:space="preserve"> созданного (реконструированного) </w:t>
      </w:r>
      <w:r>
        <w:rPr>
          <w:rFonts w:ascii="Times New Roman" w:eastAsia="Calibri" w:hAnsi="Times New Roman"/>
          <w:b/>
          <w:color w:val="000000"/>
          <w:sz w:val="28"/>
          <w:szCs w:val="28"/>
        </w:rPr>
        <w:t>объекта ИЖС.</w:t>
      </w:r>
    </w:p>
    <w:p w:rsidR="009C6738" w:rsidRDefault="009C6738"/>
    <w:p w:rsidR="009C6738" w:rsidRDefault="00BE213F">
      <w:pPr>
        <w:spacing w:after="0" w:line="240" w:lineRule="auto"/>
        <w:ind w:firstLine="709"/>
        <w:jc w:val="both"/>
        <w:rPr>
          <w:rFonts w:ascii="Times New Roman" w:hAnsi="Times New Roman" w:cs="Times New Roman"/>
          <w:sz w:val="28"/>
          <w:szCs w:val="28"/>
        </w:rPr>
      </w:pPr>
      <w:r>
        <w:rPr>
          <w:rFonts w:ascii="Times New Roman" w:hAnsi="Times New Roman"/>
          <w:sz w:val="28"/>
          <w:szCs w:val="28"/>
          <w:shd w:val="clear" w:color="auto" w:fill="FFFFFF"/>
        </w:rPr>
        <w:t xml:space="preserve">Государственный </w:t>
      </w:r>
      <w:r>
        <w:rPr>
          <w:rFonts w:ascii="Times New Roman" w:hAnsi="Times New Roman" w:cs="Times New Roman"/>
          <w:sz w:val="28"/>
          <w:szCs w:val="28"/>
        </w:rPr>
        <w:t xml:space="preserve">кадастровый учет и (или) государственная регистрация прав в отношении созданного (реконструированного) </w:t>
      </w:r>
      <w:r>
        <w:rPr>
          <w:rFonts w:ascii="Times New Roman" w:eastAsia="Calibri" w:hAnsi="Times New Roman"/>
          <w:color w:val="000000"/>
          <w:sz w:val="28"/>
          <w:szCs w:val="28"/>
        </w:rPr>
        <w:t xml:space="preserve">объекта ИЖС осуществляется в соответствии положениями </w:t>
      </w:r>
      <w:r>
        <w:rPr>
          <w:rFonts w:ascii="Times New Roman" w:hAnsi="Times New Roman" w:cs="Times New Roman"/>
          <w:sz w:val="28"/>
          <w:szCs w:val="28"/>
        </w:rPr>
        <w:t>Федерального закона от 13.07.2015 № 218-ФЗ «О государственной регистрации недвижимости» (далее - Закон о недвижимости) в  ЕГРН.</w:t>
      </w:r>
    </w:p>
    <w:p w:rsidR="009C6738" w:rsidRDefault="00BE213F">
      <w:pPr>
        <w:tabs>
          <w:tab w:val="left" w:pos="540"/>
          <w:tab w:val="left" w:pos="720"/>
        </w:tabs>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color w:val="000000"/>
          <w:sz w:val="28"/>
          <w:szCs w:val="28"/>
        </w:rPr>
        <w:tab/>
      </w:r>
      <w:proofErr w:type="gramStart"/>
      <w:r>
        <w:rPr>
          <w:rFonts w:ascii="Times New Roman" w:hAnsi="Times New Roman" w:cs="Times New Roman"/>
          <w:color w:val="000000"/>
          <w:sz w:val="28"/>
          <w:szCs w:val="28"/>
        </w:rPr>
        <w:t xml:space="preserve">Общий порядок осуществления государственного кадастрового учета и (или) государственной регистрации прав установлен </w:t>
      </w:r>
      <w:hyperlink r:id="rId8" w:tooltip="consultantplus://offline/ref=D8E0E7182BE55F01AE0F220E081B743DC006EE9AA3DE0AEC286D42746B987C9174F7B0AF4FD081F8D9DC615B73744772ED3ABE74CE7A8CB9h279J" w:history="1">
        <w:r>
          <w:rPr>
            <w:rStyle w:val="af"/>
            <w:rFonts w:ascii="Times New Roman" w:eastAsia="Calibri" w:hAnsi="Times New Roman" w:cs="Times New Roman"/>
            <w:color w:val="000000"/>
            <w:sz w:val="28"/>
            <w:szCs w:val="28"/>
            <w:u w:val="none"/>
          </w:rPr>
          <w:t>статьей 29</w:t>
        </w:r>
      </w:hyperlink>
      <w:r>
        <w:rPr>
          <w:rFonts w:ascii="Times New Roman" w:hAnsi="Times New Roman" w:cs="Times New Roman"/>
          <w:color w:val="000000"/>
          <w:sz w:val="28"/>
          <w:szCs w:val="28"/>
        </w:rPr>
        <w:t xml:space="preserve"> Закона о недвижимости и включает в себя, в том числе предоставление заявления об осуществлении государственного кадастрового учета и государственной регистрации прав, проведение правовой экспертизы документов, представленных для их осуществления на предмет наличия или отсутствия установленных Законом о недвижимости оснований для приостановления государственного кадастрового учета и государственной</w:t>
      </w:r>
      <w:proofErr w:type="gramEnd"/>
      <w:r>
        <w:rPr>
          <w:rFonts w:ascii="Times New Roman" w:hAnsi="Times New Roman" w:cs="Times New Roman"/>
          <w:color w:val="000000"/>
          <w:sz w:val="28"/>
          <w:szCs w:val="28"/>
        </w:rPr>
        <w:t xml:space="preserve"> регистрации прав (в соответствии со </w:t>
      </w:r>
      <w:hyperlink r:id="rId9" w:tooltip="consultantplus://offline/ref=D8E0E7182BE55F01AE0F220E081B743DC006EE9AA3DE0AEC286D42746B987C9174F7B0AF4FD086FBD4DC615B73744772ED3ABE74CE7A8CB9h279J" w:history="1">
        <w:r>
          <w:rPr>
            <w:rStyle w:val="af"/>
            <w:rFonts w:ascii="Times New Roman" w:eastAsia="Calibri" w:hAnsi="Times New Roman" w:cs="Times New Roman"/>
            <w:color w:val="000000"/>
            <w:sz w:val="28"/>
            <w:szCs w:val="28"/>
            <w:u w:val="none"/>
          </w:rPr>
          <w:t>статьей 26</w:t>
        </w:r>
      </w:hyperlink>
      <w:r>
        <w:rPr>
          <w:rFonts w:ascii="Times New Roman" w:hAnsi="Times New Roman" w:cs="Times New Roman"/>
          <w:color w:val="000000"/>
          <w:sz w:val="28"/>
          <w:szCs w:val="28"/>
        </w:rPr>
        <w:t xml:space="preserve"> Закона о недвижимости) либо для отказа в их осуществлении (</w:t>
      </w:r>
      <w:hyperlink r:id="rId10" w:tooltip="consultantplus://offline/ref=D8E0E7182BE55F01AE0F220E081B743DC006EE9AA3DE0AEC286D42746B987C9174F7B0AF4FD081FFD4DC615B73744772ED3ABE74CE7A8CB9h279J" w:history="1">
        <w:r>
          <w:rPr>
            <w:rStyle w:val="af"/>
            <w:rFonts w:ascii="Times New Roman" w:eastAsia="Calibri" w:hAnsi="Times New Roman" w:cs="Times New Roman"/>
            <w:color w:val="000000"/>
            <w:sz w:val="28"/>
            <w:szCs w:val="28"/>
            <w:u w:val="none"/>
          </w:rPr>
          <w:t>статья 27</w:t>
        </w:r>
      </w:hyperlink>
      <w:r>
        <w:rPr>
          <w:rFonts w:ascii="Times New Roman" w:hAnsi="Times New Roman" w:cs="Times New Roman"/>
          <w:color w:val="000000"/>
          <w:sz w:val="28"/>
          <w:szCs w:val="28"/>
        </w:rPr>
        <w:t xml:space="preserve"> Закона о недвижимости).</w:t>
      </w:r>
      <w:r>
        <w:rPr>
          <w:rFonts w:ascii="Times New Roman" w:eastAsia="Calibri" w:hAnsi="Times New Roman" w:cs="Times New Roman"/>
          <w:sz w:val="28"/>
          <w:szCs w:val="28"/>
        </w:rPr>
        <w:t xml:space="preserve"> </w:t>
      </w:r>
    </w:p>
    <w:p w:rsidR="009C6738" w:rsidRDefault="00BE213F">
      <w:pPr>
        <w:tabs>
          <w:tab w:val="left" w:pos="540"/>
          <w:tab w:val="left" w:pos="720"/>
        </w:tabs>
        <w:spacing w:after="0" w:line="240" w:lineRule="auto"/>
        <w:ind w:firstLine="709"/>
        <w:jc w:val="both"/>
        <w:rPr>
          <w:rFonts w:ascii="Times New Roman" w:eastAsia="Calibri" w:hAnsi="Times New Roman"/>
          <w:color w:val="000000"/>
          <w:sz w:val="28"/>
          <w:szCs w:val="28"/>
        </w:rPr>
      </w:pPr>
      <w:r>
        <w:rPr>
          <w:rFonts w:ascii="Times New Roman" w:hAnsi="Times New Roman"/>
          <w:sz w:val="28"/>
          <w:szCs w:val="28"/>
          <w:shd w:val="clear" w:color="auto" w:fill="FFFFFF"/>
        </w:rPr>
        <w:t xml:space="preserve">Государственный </w:t>
      </w:r>
      <w:r>
        <w:rPr>
          <w:rFonts w:ascii="Times New Roman" w:hAnsi="Times New Roman" w:cs="Times New Roman"/>
          <w:sz w:val="28"/>
          <w:szCs w:val="28"/>
        </w:rPr>
        <w:t xml:space="preserve">кадастровый учет и (или) государственная регистрация прав в отношении созданного (реконструированного) объекта ИЖС </w:t>
      </w:r>
      <w:r>
        <w:rPr>
          <w:rFonts w:ascii="Times New Roman" w:eastAsia="Calibri" w:hAnsi="Times New Roman"/>
          <w:color w:val="000000"/>
          <w:sz w:val="28"/>
          <w:szCs w:val="28"/>
        </w:rPr>
        <w:t xml:space="preserve">осуществляется в </w:t>
      </w:r>
      <w:r>
        <w:rPr>
          <w:rFonts w:ascii="Times New Roman" w:hAnsi="Times New Roman"/>
          <w:sz w:val="28"/>
          <w:szCs w:val="28"/>
        </w:rPr>
        <w:t>упрощенном порядке (часть 12 статья 70 Закона о недвижимости) и в уведомительном порядке (</w:t>
      </w:r>
      <w:hyperlink r:id="rId11" w:tooltip="https://login.consultant.ru/link/?req=doc&amp;base=LAW&amp;n=494926&amp;dst=2579" w:history="1">
        <w:r>
          <w:rPr>
            <w:rFonts w:ascii="Times New Roman" w:eastAsia="Calibri" w:hAnsi="Times New Roman"/>
            <w:color w:val="000000"/>
            <w:sz w:val="28"/>
            <w:szCs w:val="28"/>
          </w:rPr>
          <w:t>статья 51.1</w:t>
        </w:r>
      </w:hyperlink>
      <w:r>
        <w:rPr>
          <w:rFonts w:ascii="Times New Roman" w:eastAsia="Calibri" w:hAnsi="Times New Roman"/>
          <w:color w:val="000000"/>
          <w:sz w:val="28"/>
          <w:szCs w:val="28"/>
        </w:rPr>
        <w:t xml:space="preserve"> и </w:t>
      </w:r>
      <w:hyperlink r:id="rId12" w:tooltip="https://login.consultant.ru/link/?req=doc&amp;base=LAW&amp;n=494926&amp;dst=2654" w:history="1">
        <w:r>
          <w:rPr>
            <w:rFonts w:ascii="Times New Roman" w:eastAsia="Calibri" w:hAnsi="Times New Roman"/>
            <w:color w:val="000000"/>
            <w:sz w:val="28"/>
            <w:szCs w:val="28"/>
          </w:rPr>
          <w:t>части 16</w:t>
        </w:r>
      </w:hyperlink>
      <w:r>
        <w:rPr>
          <w:rFonts w:ascii="Times New Roman" w:eastAsia="Calibri" w:hAnsi="Times New Roman"/>
          <w:color w:val="000000"/>
          <w:sz w:val="28"/>
          <w:szCs w:val="28"/>
        </w:rPr>
        <w:t xml:space="preserve"> - </w:t>
      </w:r>
      <w:hyperlink r:id="rId13" w:tooltip="https://login.consultant.ru/link/?req=doc&amp;base=LAW&amp;n=494926&amp;dst=2671" w:history="1">
        <w:r>
          <w:rPr>
            <w:rFonts w:ascii="Times New Roman" w:eastAsia="Calibri" w:hAnsi="Times New Roman"/>
            <w:color w:val="000000"/>
            <w:sz w:val="28"/>
            <w:szCs w:val="28"/>
          </w:rPr>
          <w:t>21 статьи 55</w:t>
        </w:r>
      </w:hyperlink>
      <w:r>
        <w:rPr>
          <w:rFonts w:ascii="Times New Roman" w:eastAsia="Calibri" w:hAnsi="Times New Roman"/>
          <w:color w:val="000000"/>
          <w:sz w:val="28"/>
          <w:szCs w:val="28"/>
        </w:rPr>
        <w:t xml:space="preserve"> Градостроительного кодекса Российской Федерации (далее </w:t>
      </w:r>
      <w:proofErr w:type="gramStart"/>
      <w:r>
        <w:rPr>
          <w:rFonts w:ascii="Times New Roman" w:eastAsia="Calibri" w:hAnsi="Times New Roman"/>
          <w:color w:val="000000"/>
          <w:sz w:val="28"/>
          <w:szCs w:val="28"/>
        </w:rPr>
        <w:t>-</w:t>
      </w:r>
      <w:proofErr w:type="spellStart"/>
      <w:r>
        <w:rPr>
          <w:rFonts w:ascii="Times New Roman" w:eastAsia="Calibri" w:hAnsi="Times New Roman"/>
          <w:color w:val="000000"/>
          <w:sz w:val="28"/>
          <w:szCs w:val="28"/>
        </w:rPr>
        <w:t>Г</w:t>
      </w:r>
      <w:proofErr w:type="gramEnd"/>
      <w:r>
        <w:rPr>
          <w:rFonts w:ascii="Times New Roman" w:eastAsia="Calibri" w:hAnsi="Times New Roman"/>
          <w:color w:val="000000"/>
          <w:sz w:val="28"/>
          <w:szCs w:val="28"/>
        </w:rPr>
        <w:t>рК</w:t>
      </w:r>
      <w:proofErr w:type="spellEnd"/>
      <w:r>
        <w:rPr>
          <w:rFonts w:ascii="Times New Roman" w:eastAsia="Calibri" w:hAnsi="Times New Roman"/>
          <w:color w:val="000000"/>
          <w:sz w:val="28"/>
          <w:szCs w:val="28"/>
        </w:rPr>
        <w:t xml:space="preserve"> РФ).</w:t>
      </w:r>
    </w:p>
    <w:p w:rsidR="009C6738" w:rsidRDefault="00BE213F">
      <w:pPr>
        <w:tabs>
          <w:tab w:val="left" w:pos="540"/>
          <w:tab w:val="left" w:pos="720"/>
        </w:tabs>
        <w:spacing w:after="0" w:line="240" w:lineRule="auto"/>
        <w:ind w:firstLine="709"/>
        <w:jc w:val="both"/>
        <w:rPr>
          <w:rFonts w:ascii="Times New Roman" w:eastAsia="Calibri" w:hAnsi="Times New Roman"/>
          <w:b/>
          <w:bCs/>
          <w:color w:val="000000"/>
          <w:sz w:val="28"/>
          <w:szCs w:val="28"/>
        </w:rPr>
      </w:pPr>
      <w:r>
        <w:rPr>
          <w:rFonts w:ascii="Times New Roman" w:eastAsia="Calibri" w:hAnsi="Times New Roman"/>
          <w:b/>
          <w:bCs/>
          <w:color w:val="000000"/>
          <w:sz w:val="28"/>
          <w:szCs w:val="28"/>
        </w:rPr>
        <w:lastRenderedPageBreak/>
        <w:t xml:space="preserve">При этом с 01.03.2025 государственный кадастровый учет и государственная регистрация прав на объект ИЖС могут быть осуществлены при условии наличия в ЕГРН сведений о границах земельного участка, в пределах которого он расположен. </w:t>
      </w:r>
    </w:p>
    <w:p w:rsidR="009C6738" w:rsidRDefault="00BE213F">
      <w:pPr>
        <w:tabs>
          <w:tab w:val="left" w:pos="540"/>
          <w:tab w:val="left" w:pos="720"/>
        </w:tabs>
        <w:spacing w:after="0" w:line="240" w:lineRule="auto"/>
        <w:ind w:firstLine="709"/>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Согласно статье 333.33 Налогового кодекса Российской Федерации:</w:t>
      </w:r>
    </w:p>
    <w:p w:rsidR="009C6738" w:rsidRDefault="00BE213F">
      <w:pPr>
        <w:pBdr>
          <w:top w:val="none" w:sz="4" w:space="0" w:color="000000"/>
          <w:left w:val="none" w:sz="4" w:space="0" w:color="000000"/>
          <w:bottom w:val="none" w:sz="4" w:space="0" w:color="000000"/>
          <w:right w:val="none" w:sz="4" w:space="0" w:color="000000"/>
        </w:pBdr>
        <w:spacing w:after="0" w:line="288" w:lineRule="atLeast"/>
        <w:ind w:firstLine="708"/>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за государственный кадастровый учет или государственную регистрацию права собственности физического лица на земельный участок, предназначенный для ведения ЛПХ, ведения гражданами садоводства или огородничества для собственных нужд, индивидуального гаражного или ИЖС, осуществления крестьянским (фермерским) хозяйством своей деятельности, либо на создаваемый или созданный на таком земельном участке объект недвижимого имущества, государственная  пошлина составляет 700 рублей  (пункт 24 части 1);</w:t>
      </w:r>
      <w:proofErr w:type="gramEnd"/>
    </w:p>
    <w:p w:rsidR="009C6738" w:rsidRDefault="00BE213F">
      <w:pPr>
        <w:pBdr>
          <w:top w:val="none" w:sz="4" w:space="0" w:color="000000"/>
          <w:left w:val="none" w:sz="4" w:space="0" w:color="000000"/>
          <w:bottom w:val="none" w:sz="4" w:space="0" w:color="000000"/>
          <w:right w:val="none" w:sz="4" w:space="0" w:color="000000"/>
        </w:pBdr>
        <w:spacing w:after="0" w:line="288" w:lineRule="atLeast"/>
        <w:ind w:firstLine="708"/>
        <w:jc w:val="both"/>
        <w:rPr>
          <w:rFonts w:ascii="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за осуществляемые одновременно государственный кадастровый учет и государственную регистрацию права собственности физического лица на земельный участок, предназначенный для указанных целей,  либо на создаваемый или созданный на таком земельном участке объект недвижимого имущества, государственная  пошлина составляет 1000 рублей  (пункт 24.1 части 1).</w:t>
      </w:r>
      <w:proofErr w:type="gramEnd"/>
    </w:p>
    <w:p w:rsidR="009C6738" w:rsidRDefault="009C6738">
      <w:pPr>
        <w:tabs>
          <w:tab w:val="left" w:pos="540"/>
          <w:tab w:val="left" w:pos="720"/>
        </w:tabs>
        <w:spacing w:after="0" w:line="240" w:lineRule="auto"/>
        <w:ind w:firstLine="709"/>
        <w:jc w:val="both"/>
        <w:rPr>
          <w:rFonts w:ascii="Times New Roman" w:eastAsia="Calibri" w:hAnsi="Times New Roman"/>
          <w:b/>
          <w:bCs/>
          <w:color w:val="000000"/>
          <w:sz w:val="28"/>
          <w:szCs w:val="28"/>
        </w:rPr>
      </w:pPr>
    </w:p>
    <w:p w:rsidR="009C6738" w:rsidRDefault="00BE213F">
      <w:pPr>
        <w:tabs>
          <w:tab w:val="left" w:pos="540"/>
          <w:tab w:val="left" w:pos="720"/>
        </w:tabs>
        <w:spacing w:after="0" w:line="240" w:lineRule="auto"/>
        <w:ind w:firstLine="709"/>
        <w:jc w:val="both"/>
        <w:rPr>
          <w:rFonts w:ascii="Times New Roman" w:eastAsia="Calibri" w:hAnsi="Times New Roman"/>
          <w:b/>
          <w:color w:val="000000"/>
          <w:sz w:val="28"/>
          <w:szCs w:val="28"/>
        </w:rPr>
      </w:pPr>
      <w:r>
        <w:rPr>
          <w:rFonts w:ascii="Times New Roman" w:eastAsia="Calibri" w:hAnsi="Times New Roman"/>
          <w:b/>
          <w:color w:val="000000"/>
          <w:sz w:val="28"/>
          <w:szCs w:val="28"/>
        </w:rPr>
        <w:t xml:space="preserve"> </w:t>
      </w:r>
      <w:r>
        <w:rPr>
          <w:rFonts w:ascii="Times New Roman" w:eastAsia="Calibri" w:hAnsi="Times New Roman"/>
          <w:color w:val="000000"/>
          <w:sz w:val="28"/>
          <w:szCs w:val="28"/>
        </w:rPr>
        <w:t xml:space="preserve">- </w:t>
      </w:r>
      <w:r>
        <w:rPr>
          <w:rFonts w:ascii="Times New Roman" w:eastAsia="Calibri" w:hAnsi="Times New Roman"/>
          <w:b/>
          <w:color w:val="000000"/>
          <w:sz w:val="28"/>
          <w:szCs w:val="28"/>
        </w:rPr>
        <w:t>Упрощенный порядок.</w:t>
      </w:r>
    </w:p>
    <w:p w:rsidR="009C6738" w:rsidRDefault="00BE213F">
      <w:pPr>
        <w:tabs>
          <w:tab w:val="left" w:pos="540"/>
          <w:tab w:val="left" w:pos="720"/>
        </w:tabs>
        <w:spacing w:after="0" w:line="240" w:lineRule="auto"/>
        <w:ind w:firstLine="709"/>
        <w:jc w:val="both"/>
        <w:rPr>
          <w:rFonts w:ascii="Times New Roman" w:eastAsia="Calibri" w:hAnsi="Times New Roman"/>
          <w:color w:val="000000"/>
          <w:sz w:val="28"/>
          <w:szCs w:val="28"/>
        </w:rPr>
      </w:pPr>
      <w:proofErr w:type="gramStart"/>
      <w:r>
        <w:rPr>
          <w:rFonts w:ascii="Times New Roman" w:eastAsia="Calibri" w:hAnsi="Times New Roman"/>
          <w:color w:val="000000"/>
          <w:sz w:val="28"/>
          <w:szCs w:val="28"/>
        </w:rPr>
        <w:t xml:space="preserve">До 1 марта 2031 года допускается осуществление государственного кадастрового учета и (или) государственной регистрации прав на объект ИЖС, созданный на земельном участке, предназначенном для ведения гражданами садоводства, для индивидуального жилищного строительства или для ведения личного подсобного хозяйства в границах населенного пункта, для осуществления крестьянским (фермерским) хозяйством своей деятельности, и соответствующий параметрам объекта ИЖС, указанным в пункте 39 статьи 1 </w:t>
      </w:r>
      <w:proofErr w:type="spellStart"/>
      <w:r>
        <w:rPr>
          <w:rFonts w:ascii="Times New Roman" w:eastAsia="Calibri" w:hAnsi="Times New Roman"/>
          <w:color w:val="000000"/>
          <w:sz w:val="28"/>
          <w:szCs w:val="28"/>
        </w:rPr>
        <w:t>ГрК</w:t>
      </w:r>
      <w:proofErr w:type="spellEnd"/>
      <w:proofErr w:type="gramEnd"/>
      <w:r>
        <w:rPr>
          <w:rFonts w:ascii="Times New Roman" w:eastAsia="Calibri" w:hAnsi="Times New Roman"/>
          <w:color w:val="000000"/>
          <w:sz w:val="28"/>
          <w:szCs w:val="28"/>
        </w:rPr>
        <w:t xml:space="preserve"> РФ, на основании только:</w:t>
      </w:r>
    </w:p>
    <w:p w:rsidR="009C6738" w:rsidRDefault="00BE213F">
      <w:pPr>
        <w:tabs>
          <w:tab w:val="left" w:pos="540"/>
          <w:tab w:val="left" w:pos="720"/>
        </w:tabs>
        <w:spacing w:after="0" w:line="240"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ab/>
        <w:t xml:space="preserve">  технического плана;</w:t>
      </w:r>
    </w:p>
    <w:p w:rsidR="009C6738" w:rsidRDefault="00BE213F">
      <w:pPr>
        <w:tabs>
          <w:tab w:val="left" w:pos="540"/>
          <w:tab w:val="left" w:pos="720"/>
        </w:tabs>
        <w:spacing w:after="0" w:line="240"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 xml:space="preserve"> </w:t>
      </w:r>
      <w:r>
        <w:rPr>
          <w:rFonts w:ascii="Times New Roman" w:eastAsia="Calibri" w:hAnsi="Times New Roman"/>
          <w:color w:val="000000"/>
          <w:sz w:val="28"/>
          <w:szCs w:val="28"/>
        </w:rPr>
        <w:tab/>
      </w:r>
      <w:r>
        <w:rPr>
          <w:rFonts w:ascii="Times New Roman" w:eastAsia="Calibri" w:hAnsi="Times New Roman"/>
          <w:color w:val="000000"/>
          <w:sz w:val="28"/>
          <w:szCs w:val="28"/>
        </w:rPr>
        <w:tab/>
        <w:t>правоустанавливающего документа на земельный участок.</w:t>
      </w:r>
    </w:p>
    <w:p w:rsidR="009C6738" w:rsidRDefault="00BE213F">
      <w:pPr>
        <w:tabs>
          <w:tab w:val="left" w:pos="540"/>
          <w:tab w:val="left" w:pos="720"/>
        </w:tabs>
        <w:spacing w:after="0" w:line="240"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ab/>
      </w:r>
    </w:p>
    <w:p w:rsidR="009C6738" w:rsidRDefault="00BE213F">
      <w:pPr>
        <w:tabs>
          <w:tab w:val="left" w:pos="540"/>
          <w:tab w:val="left" w:pos="720"/>
        </w:tabs>
        <w:spacing w:after="0" w:line="240"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ab/>
        <w:t xml:space="preserve">   - </w:t>
      </w:r>
      <w:r>
        <w:rPr>
          <w:rFonts w:ascii="Times New Roman" w:eastAsia="Calibri" w:hAnsi="Times New Roman" w:cs="Times New Roman"/>
          <w:b/>
          <w:color w:val="000000"/>
          <w:sz w:val="28"/>
          <w:szCs w:val="28"/>
        </w:rPr>
        <w:t>Уведомительный порядок.</w:t>
      </w:r>
    </w:p>
    <w:p w:rsidR="009C6738" w:rsidRDefault="00BE213F">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 xml:space="preserve">Застройщик (правообладатель соответствующего земельного участка) вправе в оформить право на объект ИЖС </w:t>
      </w:r>
      <w:r>
        <w:rPr>
          <w:rFonts w:ascii="Times New Roman" w:eastAsia="Calibri" w:hAnsi="Times New Roman" w:cs="Times New Roman"/>
          <w:color w:val="000000"/>
          <w:sz w:val="28"/>
          <w:szCs w:val="28"/>
        </w:rPr>
        <w:t xml:space="preserve">в уведомительном порядке </w:t>
      </w:r>
      <w:proofErr w:type="gramStart"/>
      <w:r>
        <w:rPr>
          <w:rFonts w:ascii="Times New Roman" w:eastAsia="Calibri" w:hAnsi="Times New Roman" w:cs="Times New Roman"/>
          <w:color w:val="000000"/>
          <w:sz w:val="28"/>
          <w:szCs w:val="28"/>
        </w:rPr>
        <w:t>в</w:t>
      </w:r>
      <w:proofErr w:type="gramEnd"/>
      <w:r>
        <w:rPr>
          <w:rFonts w:ascii="Times New Roman" w:eastAsia="Calibri" w:hAnsi="Times New Roman" w:cs="Times New Roman"/>
          <w:color w:val="000000"/>
          <w:sz w:val="28"/>
          <w:szCs w:val="28"/>
        </w:rPr>
        <w:t xml:space="preserve"> </w:t>
      </w:r>
      <w:proofErr w:type="gramStart"/>
      <w:r>
        <w:rPr>
          <w:rFonts w:ascii="Times New Roman" w:eastAsia="Calibri" w:hAnsi="Times New Roman" w:cs="Times New Roman"/>
          <w:color w:val="000000"/>
          <w:sz w:val="28"/>
          <w:szCs w:val="28"/>
        </w:rPr>
        <w:t>соответствии</w:t>
      </w:r>
      <w:proofErr w:type="gramEnd"/>
      <w:r>
        <w:rPr>
          <w:rFonts w:ascii="Times New Roman" w:eastAsia="Calibri" w:hAnsi="Times New Roman" w:cs="Times New Roman"/>
          <w:color w:val="000000"/>
          <w:sz w:val="28"/>
          <w:szCs w:val="28"/>
        </w:rPr>
        <w:t xml:space="preserve"> со </w:t>
      </w:r>
      <w:hyperlink r:id="rId14" w:tooltip="https://login.consultant.ru/link/?req=doc&amp;base=LAW&amp;n=494926&amp;dst=2579" w:history="1">
        <w:r>
          <w:rPr>
            <w:rFonts w:ascii="Times New Roman" w:eastAsia="Calibri" w:hAnsi="Times New Roman" w:cs="Times New Roman"/>
            <w:color w:val="000000"/>
            <w:sz w:val="28"/>
            <w:szCs w:val="28"/>
          </w:rPr>
          <w:t>статьями 51.1</w:t>
        </w:r>
      </w:hyperlink>
      <w:r>
        <w:rPr>
          <w:rFonts w:ascii="Times New Roman" w:eastAsia="Calibri" w:hAnsi="Times New Roman" w:cs="Times New Roman"/>
          <w:color w:val="000000"/>
          <w:sz w:val="28"/>
          <w:szCs w:val="28"/>
        </w:rPr>
        <w:t xml:space="preserve"> и </w:t>
      </w:r>
      <w:hyperlink r:id="rId15" w:tooltip="https://login.consultant.ru/link/?req=doc&amp;base=LAW&amp;n=494926&amp;dst=2654" w:history="1">
        <w:r>
          <w:rPr>
            <w:rFonts w:ascii="Times New Roman" w:eastAsia="Calibri" w:hAnsi="Times New Roman" w:cs="Times New Roman"/>
            <w:color w:val="000000"/>
            <w:sz w:val="28"/>
            <w:szCs w:val="28"/>
          </w:rPr>
          <w:t>частями 16</w:t>
        </w:r>
      </w:hyperlink>
      <w:r>
        <w:rPr>
          <w:rFonts w:ascii="Times New Roman" w:eastAsia="Calibri" w:hAnsi="Times New Roman" w:cs="Times New Roman"/>
          <w:color w:val="000000"/>
          <w:sz w:val="28"/>
          <w:szCs w:val="28"/>
        </w:rPr>
        <w:t xml:space="preserve"> - </w:t>
      </w:r>
      <w:hyperlink r:id="rId16" w:tooltip="https://login.consultant.ru/link/?req=doc&amp;base=LAW&amp;n=494926&amp;dst=2671" w:history="1">
        <w:r>
          <w:rPr>
            <w:rFonts w:ascii="Times New Roman" w:eastAsia="Calibri" w:hAnsi="Times New Roman" w:cs="Times New Roman"/>
            <w:color w:val="000000"/>
            <w:sz w:val="28"/>
            <w:szCs w:val="28"/>
          </w:rPr>
          <w:t>21 статьи 55</w:t>
        </w:r>
      </w:hyperlink>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ГрК</w:t>
      </w:r>
      <w:proofErr w:type="spellEnd"/>
      <w:r>
        <w:rPr>
          <w:rFonts w:ascii="Times New Roman" w:eastAsia="Calibri" w:hAnsi="Times New Roman" w:cs="Times New Roman"/>
          <w:color w:val="000000"/>
          <w:sz w:val="28"/>
          <w:szCs w:val="28"/>
        </w:rPr>
        <w:t xml:space="preserve"> РФ.</w:t>
      </w:r>
    </w:p>
    <w:p w:rsidR="009C6738" w:rsidRDefault="00BE213F">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 частью 1.2 статьи 19 Закона о недвижимости орган местного самоуправления, уполномоченный на выдачу разрешений на строительство, в срок не позднее семи рабочих дней с даты поступления от застройщика уведомления об окончании строительства или реконструкции объекта ИЖС при отсутствии предусмотренных </w:t>
      </w:r>
      <w:proofErr w:type="spellStart"/>
      <w:r>
        <w:rPr>
          <w:rFonts w:ascii="Times New Roman" w:hAnsi="Times New Roman" w:cs="Times New Roman"/>
          <w:sz w:val="28"/>
          <w:szCs w:val="28"/>
        </w:rPr>
        <w:t>ГрК</w:t>
      </w:r>
      <w:proofErr w:type="spellEnd"/>
      <w:r>
        <w:rPr>
          <w:rFonts w:ascii="Times New Roman" w:hAnsi="Times New Roman" w:cs="Times New Roman"/>
          <w:sz w:val="28"/>
          <w:szCs w:val="28"/>
        </w:rPr>
        <w:t xml:space="preserve"> РФ оснований для направления застройщику уведомления о несоответствии построенных объекта ИЖС или садового дома требованиям законодательства 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градостроительной деятельности обязан направить в орган регистрации прав:</w:t>
      </w:r>
      <w:proofErr w:type="gramEnd"/>
    </w:p>
    <w:p w:rsidR="009C6738" w:rsidRDefault="00BE213F">
      <w:pPr>
        <w:pStyle w:val="af9"/>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заявление о государственном кадастровом учете и государственной регистрации прав на объект ИЖС;</w:t>
      </w:r>
    </w:p>
    <w:p w:rsidR="009C6738" w:rsidRDefault="00BE213F">
      <w:pPr>
        <w:pStyle w:val="af9"/>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уведомление об окончании строительства или реконструкции объекта ИЖС;</w:t>
      </w:r>
    </w:p>
    <w:p w:rsidR="009C6738" w:rsidRDefault="00BE213F">
      <w:pPr>
        <w:pStyle w:val="af9"/>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представленный застройщиком технический план;</w:t>
      </w:r>
    </w:p>
    <w:p w:rsidR="009C6738" w:rsidRDefault="00BE213F">
      <w:pPr>
        <w:pStyle w:val="af9"/>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заключенное между правообладателями земельного участка соглашение об определении их долей в праве общей долевой собственности на такие объекты недвижимости (в случае, если земельный участок, на котором построен или реконструирован объект недвижимости, принадлежит двум и более гражданам на праве общей долевой собственности или передан в аренду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множественностью лиц на стороне арендатора).</w:t>
      </w:r>
    </w:p>
    <w:p w:rsidR="009C6738" w:rsidRDefault="00BE213F">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указанном случае технический план объекта ИЖС (в том числе не завершенных строительством) подготавливается на основании: декларации и уведомления застройщика или подрядчика по договору строительного подряда о планируемых строительстве или реконструкции такого объекта, а также уведомления о соответствии указанного объекта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к параметрам объектов капитального строительства, установленным федеральными законами, и допустимости размещения объекта на земельном участке  (часть 11.1 статья 24 Закона о недвижимости).</w:t>
      </w:r>
      <w:proofErr w:type="gramEnd"/>
    </w:p>
    <w:p w:rsidR="009C6738" w:rsidRDefault="009C6738">
      <w:pPr>
        <w:spacing w:line="240" w:lineRule="auto"/>
        <w:jc w:val="center"/>
        <w:rPr>
          <w:rFonts w:ascii="Times New Roman" w:eastAsia="Times New Roman" w:hAnsi="Times New Roman" w:cs="Times New Roman"/>
          <w:b/>
          <w:bCs/>
          <w:sz w:val="28"/>
          <w:szCs w:val="28"/>
        </w:rPr>
      </w:pPr>
    </w:p>
    <w:p w:rsidR="009C6738" w:rsidRDefault="00BE213F">
      <w:pPr>
        <w:spacing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  Предложения по вовлечению объектов ИЖС в гражданский оборот</w:t>
      </w:r>
    </w:p>
    <w:p w:rsidR="009C6738" w:rsidRDefault="00BE213F">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а) Направление органами местного самоуправления, уполномоченными на выдачу разрешений на строительство, заявлений о государственном кадастровом учете и государственной регистрации прав на объекты ИЖС при наличии от застройщика уведомления об окончании строительства или реконструкции объекта ИЖС.</w:t>
      </w:r>
    </w:p>
    <w:p w:rsidR="009C6738" w:rsidRDefault="009C6738">
      <w:pPr>
        <w:spacing w:after="0" w:line="240" w:lineRule="auto"/>
        <w:ind w:firstLine="708"/>
        <w:jc w:val="both"/>
        <w:rPr>
          <w:rFonts w:ascii="Times New Roman" w:hAnsi="Times New Roman" w:cs="Times New Roman"/>
          <w:b/>
          <w:bCs/>
          <w:sz w:val="28"/>
          <w:szCs w:val="28"/>
        </w:rPr>
      </w:pPr>
    </w:p>
    <w:p w:rsidR="009374F1" w:rsidRPr="009374F1" w:rsidRDefault="00BE213F" w:rsidP="009374F1">
      <w:pPr>
        <w:spacing w:after="0" w:line="240" w:lineRule="auto"/>
        <w:ind w:firstLine="708"/>
        <w:jc w:val="both"/>
        <w:rPr>
          <w:rFonts w:ascii="Times New Roman" w:eastAsia="Times New Roman" w:hAnsi="Times New Roman" w:cs="Times New Roman"/>
          <w:b/>
          <w:bCs/>
          <w:sz w:val="28"/>
          <w:szCs w:val="28"/>
        </w:rPr>
      </w:pPr>
      <w:r w:rsidRPr="009374F1">
        <w:rPr>
          <w:rFonts w:ascii="Times New Roman" w:eastAsia="Times New Roman" w:hAnsi="Times New Roman" w:cs="Times New Roman"/>
          <w:b/>
          <w:bCs/>
          <w:sz w:val="28"/>
          <w:szCs w:val="28"/>
        </w:rPr>
        <w:t xml:space="preserve">б) </w:t>
      </w:r>
      <w:r w:rsidR="009374F1" w:rsidRPr="009374F1">
        <w:rPr>
          <w:rFonts w:ascii="Times New Roman" w:eastAsia="Times New Roman" w:hAnsi="Times New Roman" w:cs="Times New Roman"/>
          <w:b/>
          <w:bCs/>
          <w:sz w:val="28"/>
          <w:szCs w:val="28"/>
        </w:rPr>
        <w:t>Информационно-просветительская кампания для населения.</w:t>
      </w:r>
    </w:p>
    <w:p w:rsidR="009374F1" w:rsidRPr="001B7C2C" w:rsidRDefault="009374F1" w:rsidP="009374F1">
      <w:pPr>
        <w:spacing w:after="0" w:line="240" w:lineRule="auto"/>
        <w:ind w:firstLine="708"/>
        <w:jc w:val="both"/>
        <w:rPr>
          <w:rFonts w:ascii="Times New Roman" w:eastAsia="Arial" w:hAnsi="Times New Roman" w:cs="Times New Roman"/>
          <w:sz w:val="28"/>
          <w:szCs w:val="28"/>
        </w:rPr>
      </w:pPr>
      <w:r w:rsidRPr="001B7C2C">
        <w:rPr>
          <w:rFonts w:ascii="Times New Roman" w:eastAsia="Times New Roman" w:hAnsi="Times New Roman" w:cs="Times New Roman"/>
          <w:sz w:val="28"/>
          <w:szCs w:val="28"/>
        </w:rPr>
        <w:t xml:space="preserve">Необходимо усилить проведение разъяснительной работы среди населения о положительных аспектах оформления прав </w:t>
      </w:r>
      <w:r w:rsidRPr="009374F1">
        <w:rPr>
          <w:rFonts w:ascii="Times New Roman" w:eastAsia="Times New Roman" w:hAnsi="Times New Roman" w:cs="Times New Roman"/>
          <w:sz w:val="28"/>
          <w:szCs w:val="28"/>
        </w:rPr>
        <w:br/>
      </w:r>
      <w:r w:rsidRPr="001B7C2C">
        <w:rPr>
          <w:rFonts w:ascii="Times New Roman" w:eastAsia="Times New Roman" w:hAnsi="Times New Roman" w:cs="Times New Roman"/>
          <w:sz w:val="28"/>
          <w:szCs w:val="28"/>
        </w:rPr>
        <w:t>на объекты недвижимости.</w:t>
      </w:r>
    </w:p>
    <w:p w:rsidR="009374F1" w:rsidRPr="009374F1" w:rsidRDefault="009374F1" w:rsidP="009374F1">
      <w:pPr>
        <w:spacing w:after="0" w:line="240" w:lineRule="auto"/>
        <w:ind w:firstLine="708"/>
        <w:jc w:val="both"/>
        <w:rPr>
          <w:rFonts w:ascii="Times New Roman" w:eastAsia="Times New Roman" w:hAnsi="Times New Roman" w:cs="Times New Roman"/>
          <w:color w:val="000000"/>
          <w:sz w:val="28"/>
          <w:szCs w:val="28"/>
        </w:rPr>
      </w:pPr>
      <w:proofErr w:type="gramStart"/>
      <w:r w:rsidRPr="009374F1">
        <w:rPr>
          <w:rFonts w:ascii="Times New Roman" w:eastAsia="Times New Roman" w:hAnsi="Times New Roman" w:cs="Times New Roman"/>
          <w:sz w:val="28"/>
          <w:szCs w:val="28"/>
        </w:rPr>
        <w:t xml:space="preserve">Так, в частности необходимо говорить о том, что </w:t>
      </w:r>
      <w:r w:rsidRPr="009374F1">
        <w:rPr>
          <w:rFonts w:ascii="Times New Roman" w:eastAsia="Times New Roman" w:hAnsi="Times New Roman" w:cs="Times New Roman"/>
          <w:color w:val="000000"/>
          <w:sz w:val="28"/>
          <w:szCs w:val="28"/>
        </w:rPr>
        <w:t>наличие записи в ЕГРН позволяет защитить права граждан от мошеннических действий с их имуществом, свободно распоряжаться им, дает возможность получить компенсацию в случае изъятия объекта для нужд государства (строительство дорог, учреждений), или страховые выплаты в случае катаклизмов (пожар, наводнение), повреждений в результате атаки БПЛА.</w:t>
      </w:r>
      <w:proofErr w:type="gramEnd"/>
      <w:r w:rsidRPr="009374F1">
        <w:rPr>
          <w:rFonts w:ascii="Times New Roman" w:eastAsia="Times New Roman" w:hAnsi="Times New Roman" w:cs="Times New Roman"/>
          <w:color w:val="000000"/>
          <w:sz w:val="28"/>
          <w:szCs w:val="28"/>
        </w:rPr>
        <w:t xml:space="preserve"> Также преимуществом регистрации объектов является то, что в случае оформления заемных средств зарегистрированное имущество можно оформить как залоговое.</w:t>
      </w:r>
    </w:p>
    <w:p w:rsidR="009374F1" w:rsidRPr="009374F1" w:rsidRDefault="009374F1" w:rsidP="009374F1">
      <w:pPr>
        <w:spacing w:after="0" w:line="240" w:lineRule="auto"/>
        <w:ind w:firstLine="708"/>
        <w:jc w:val="both"/>
        <w:rPr>
          <w:rFonts w:ascii="Times New Roman" w:eastAsia="Arial" w:hAnsi="Times New Roman" w:cs="Times New Roman"/>
          <w:color w:val="000000"/>
          <w:sz w:val="28"/>
          <w:szCs w:val="28"/>
        </w:rPr>
      </w:pPr>
      <w:r w:rsidRPr="009374F1">
        <w:rPr>
          <w:rFonts w:ascii="Times New Roman" w:eastAsia="Times New Roman" w:hAnsi="Times New Roman" w:cs="Times New Roman"/>
          <w:color w:val="000000"/>
          <w:sz w:val="28"/>
          <w:szCs w:val="28"/>
        </w:rPr>
        <w:lastRenderedPageBreak/>
        <w:t xml:space="preserve">Кроме того, регистрация права собственности в ЕГРН </w:t>
      </w:r>
      <w:r w:rsidRPr="009374F1">
        <w:rPr>
          <w:rFonts w:ascii="Times New Roman" w:eastAsia="Times New Roman" w:hAnsi="Times New Roman" w:cs="Times New Roman"/>
          <w:color w:val="000000"/>
          <w:sz w:val="28"/>
          <w:szCs w:val="28"/>
        </w:rPr>
        <w:br/>
        <w:t>в обязательном порядке потребуется в случае последующего перехода прав на объект недвижимости (при продаже, дарении,  мене, наследовании).</w:t>
      </w:r>
    </w:p>
    <w:p w:rsidR="009374F1" w:rsidRPr="009374F1" w:rsidRDefault="009374F1" w:rsidP="009374F1">
      <w:pPr>
        <w:spacing w:after="0" w:line="240" w:lineRule="auto"/>
        <w:ind w:firstLine="708"/>
        <w:jc w:val="both"/>
        <w:rPr>
          <w:rFonts w:ascii="Times New Roman" w:eastAsia="Arial" w:hAnsi="Times New Roman" w:cs="Times New Roman"/>
          <w:b/>
          <w:bCs/>
          <w:sz w:val="28"/>
          <w:szCs w:val="28"/>
        </w:rPr>
      </w:pPr>
      <w:proofErr w:type="gramStart"/>
      <w:r w:rsidRPr="009374F1">
        <w:rPr>
          <w:rFonts w:ascii="Times New Roman" w:eastAsia="Times New Roman" w:hAnsi="Times New Roman" w:cs="Times New Roman"/>
          <w:color w:val="000000"/>
          <w:sz w:val="28"/>
          <w:szCs w:val="28"/>
        </w:rPr>
        <w:t xml:space="preserve">Также при наличии в ЕГРН сведений о правах и, соответственно, о правообладателях (об адресе электронной почты, почтовом адресе) позволит </w:t>
      </w:r>
      <w:proofErr w:type="spellStart"/>
      <w:r w:rsidRPr="009374F1">
        <w:rPr>
          <w:rFonts w:ascii="Times New Roman" w:eastAsia="Times New Roman" w:hAnsi="Times New Roman" w:cs="Times New Roman"/>
          <w:color w:val="000000"/>
          <w:sz w:val="28"/>
          <w:szCs w:val="28"/>
        </w:rPr>
        <w:t>Росреестру</w:t>
      </w:r>
      <w:proofErr w:type="spellEnd"/>
      <w:r w:rsidRPr="009374F1">
        <w:rPr>
          <w:rFonts w:ascii="Times New Roman" w:eastAsia="Times New Roman" w:hAnsi="Times New Roman" w:cs="Times New Roman"/>
          <w:color w:val="000000"/>
          <w:sz w:val="28"/>
          <w:szCs w:val="28"/>
        </w:rPr>
        <w:t xml:space="preserve">  оперативно направить в адрес собственника различные уведомления относительно действий с его недвижимостью, а также обеспечит согласование с правообладателями земельных участков местоположения границ смежных земельных участков, что поможет избежать возникновения земельных споров.</w:t>
      </w:r>
      <w:proofErr w:type="gramEnd"/>
    </w:p>
    <w:p w:rsidR="009374F1" w:rsidRPr="009374F1" w:rsidRDefault="009374F1" w:rsidP="009374F1">
      <w:pPr>
        <w:spacing w:after="0" w:line="240" w:lineRule="auto"/>
        <w:ind w:firstLine="708"/>
        <w:jc w:val="both"/>
        <w:rPr>
          <w:rFonts w:ascii="Times New Roman" w:eastAsia="Arial" w:hAnsi="Times New Roman" w:cs="Times New Roman"/>
          <w:sz w:val="28"/>
          <w:szCs w:val="28"/>
        </w:rPr>
      </w:pPr>
      <w:r w:rsidRPr="009374F1">
        <w:rPr>
          <w:rFonts w:ascii="Times New Roman" w:eastAsia="Times New Roman" w:hAnsi="Times New Roman" w:cs="Times New Roman"/>
          <w:color w:val="000000"/>
          <w:sz w:val="28"/>
          <w:szCs w:val="28"/>
          <w:highlight w:val="white"/>
        </w:rPr>
        <w:t>Кроме этого, </w:t>
      </w:r>
      <w:hyperlink r:id="rId17" w:tooltip="https://xn--h1alcedd.xn--d1aqf.xn--p1ai/instructions/vypiska-egrn-kak-rasshifrovyvaetsya-i-dlya-chego-ona-nuzhna/" w:history="1">
        <w:r w:rsidRPr="009374F1">
          <w:rPr>
            <w:rFonts w:ascii="Times New Roman" w:eastAsia="Times New Roman" w:hAnsi="Times New Roman" w:cs="Times New Roman"/>
            <w:color w:val="000000"/>
            <w:sz w:val="28"/>
            <w:szCs w:val="28"/>
            <w:highlight w:val="white"/>
          </w:rPr>
          <w:t>внесение сведений в ЕГРН</w:t>
        </w:r>
      </w:hyperlink>
      <w:r w:rsidRPr="009374F1">
        <w:rPr>
          <w:rFonts w:ascii="Times New Roman" w:eastAsia="Times New Roman" w:hAnsi="Times New Roman" w:cs="Times New Roman"/>
          <w:color w:val="000000"/>
          <w:sz w:val="28"/>
          <w:szCs w:val="28"/>
          <w:highlight w:val="white"/>
        </w:rPr>
        <w:t> о зарегистрированном праве собственности значительно сократит список документов, которые потребуются при обращении в государственные и муниципальные органы. Ведомства смогут беспрепятственно получить эти сведения из ЕГРН без участия заявителя.</w:t>
      </w:r>
    </w:p>
    <w:p w:rsidR="009C6738" w:rsidRDefault="009C6738" w:rsidP="009374F1">
      <w:pPr>
        <w:spacing w:after="0" w:line="240" w:lineRule="auto"/>
        <w:jc w:val="both"/>
        <w:rPr>
          <w:rFonts w:ascii="Times New Roman" w:hAnsi="Times New Roman" w:cs="Times New Roman"/>
          <w:b/>
          <w:bCs/>
          <w:color w:val="000000" w:themeColor="text1"/>
          <w:sz w:val="28"/>
          <w:szCs w:val="28"/>
        </w:rPr>
      </w:pPr>
    </w:p>
    <w:p w:rsidR="009C6738" w:rsidRDefault="00BE213F">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в) Проведение анализа органами местного самоуправления сведений </w:t>
      </w:r>
      <w:r>
        <w:rPr>
          <w:rFonts w:ascii="Times New Roman" w:eastAsia="Times New Roman" w:hAnsi="Times New Roman" w:cs="Times New Roman"/>
          <w:b/>
          <w:bCs/>
          <w:sz w:val="28"/>
          <w:szCs w:val="28"/>
        </w:rPr>
        <w:t xml:space="preserve">Национальной системы пространственных данных для выявления объектов ИЖС, сведения о которых не внесены в ЕГРН. </w:t>
      </w:r>
    </w:p>
    <w:p w:rsidR="009C6738" w:rsidRDefault="009C6738">
      <w:pPr>
        <w:spacing w:after="0" w:line="240" w:lineRule="auto"/>
        <w:rPr>
          <w:rFonts w:ascii="Times New Roman" w:hAnsi="Times New Roman" w:cs="Times New Roman"/>
          <w:sz w:val="28"/>
          <w:szCs w:val="28"/>
        </w:rPr>
      </w:pPr>
    </w:p>
    <w:p w:rsidR="009C6738" w:rsidRDefault="00BE213F">
      <w:pPr>
        <w:spacing w:after="0" w:line="240" w:lineRule="auto"/>
        <w:ind w:firstLine="708"/>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г) Установление предельной стоимости услуг кадастрового инженера в Саратовской области в  отношении «бытовой недвижимости».</w:t>
      </w:r>
    </w:p>
    <w:p w:rsidR="009C6738" w:rsidRDefault="00BE213F">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В соответствии со статьей 35 </w:t>
      </w:r>
      <w:r>
        <w:rPr>
          <w:rFonts w:ascii="Times New Roman" w:eastAsia="Times New Roman" w:hAnsi="Times New Roman" w:cs="Times New Roman"/>
          <w:sz w:val="28"/>
          <w:szCs w:val="28"/>
          <w:highlight w:val="white"/>
        </w:rPr>
        <w:t xml:space="preserve">Федерального  закона от 24.07.2007          № 221-ФЗ  «О кадастровой деятельности» </w:t>
      </w:r>
      <w:r>
        <w:rPr>
          <w:rFonts w:ascii="Times New Roman" w:eastAsia="Times New Roman" w:hAnsi="Times New Roman" w:cs="Times New Roman"/>
          <w:sz w:val="28"/>
          <w:szCs w:val="28"/>
          <w:shd w:val="clear" w:color="FFFFFF" w:themeColor="background1" w:fill="FFFFFF" w:themeFill="background1"/>
        </w:rPr>
        <w:t>(далее - З</w:t>
      </w:r>
      <w:r>
        <w:rPr>
          <w:rFonts w:ascii="Times New Roman" w:eastAsia="Times New Roman" w:hAnsi="Times New Roman" w:cs="Times New Roman"/>
          <w:sz w:val="28"/>
          <w:szCs w:val="28"/>
        </w:rPr>
        <w:t>акон о кадастровой деятельности)   кадастровые работы выполняются кадастровым инженером на основании заключаемого в соответствии с установленными требованиями договора подряда на выполнение кадастровых работ.</w:t>
      </w:r>
    </w:p>
    <w:p w:rsidR="009C6738" w:rsidRDefault="00BE213F">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Согласно статье 36 Закона о кадастровой деятельности  цена подлежащих выполнению кадастровых работ определяется сторонами договора подряда на выполнение кадастровых работ путем составления твердой сметы. </w:t>
      </w:r>
    </w:p>
    <w:p w:rsidR="009C6738" w:rsidRDefault="00BE213F">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Предельные максимальные цены (тарифы, расценки, ставки и тому подобное) кадастровых работ, выполняемых в отношении земельных участков, предназначенных для ведения личного подсобного хозяйства, садоводства, огородничества, строительства гаражей для собственных нужд или индивидуального жилищного строительства, и расположенных на таких земельных участках объектов недвижимости, могут устанавливаться субъектами Российской Федерации.</w:t>
      </w:r>
    </w:p>
    <w:p w:rsidR="009C6738" w:rsidRDefault="00BE213F">
      <w:pPr>
        <w:spacing w:after="0" w:line="240" w:lineRule="auto"/>
        <w:ind w:firstLine="709"/>
        <w:jc w:val="both"/>
        <w:rPr>
          <w:rFonts w:ascii="Times New Roman" w:hAnsi="Times New Roman" w:cs="Times New Roman"/>
          <w:sz w:val="28"/>
          <w:szCs w:val="28"/>
        </w:rPr>
      </w:pPr>
      <w:proofErr w:type="gramStart"/>
      <w:r>
        <w:rPr>
          <w:rFonts w:ascii="Times New Roman" w:eastAsia="Times New Roman" w:hAnsi="Times New Roman" w:cs="Times New Roman"/>
          <w:sz w:val="28"/>
          <w:szCs w:val="28"/>
        </w:rPr>
        <w:t xml:space="preserve">Статьей 13 Закона Саратовской области от 05.09.1996 (ред. от 04.02.2025) «О Правительстве Саратовской области» установлено, что Правительство области в пределах полномочий, предусмотренных федеральным законодательством и законодательством области может устанавливать предельные максимальные цены (тарифы, расценки, ставки и тому подобное) кадастровых работ в зависимости от видов объектов </w:t>
      </w:r>
      <w:r>
        <w:rPr>
          <w:rFonts w:ascii="Times New Roman" w:eastAsia="Times New Roman" w:hAnsi="Times New Roman" w:cs="Times New Roman"/>
          <w:sz w:val="28"/>
          <w:szCs w:val="28"/>
        </w:rPr>
        <w:lastRenderedPageBreak/>
        <w:t>недвижимости, иных имеющих существенное значение критериев в соответствии с федеральным законодательством.</w:t>
      </w:r>
      <w:proofErr w:type="gramEnd"/>
    </w:p>
    <w:p w:rsidR="009C6738" w:rsidRDefault="00BE213F">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Постановлением Правительства Саратовской области от 18.07.2007             № 275-П установлены на период до 1 марта 2015 года предельные максимальные цены работ по проведению территориального землеустройства в отношении земельных участков, предназначенных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на территории Саратовской области согласно приложению (сведений о </w:t>
      </w:r>
      <w:proofErr w:type="gramStart"/>
      <w:r>
        <w:rPr>
          <w:rFonts w:ascii="Times New Roman" w:eastAsia="Times New Roman" w:hAnsi="Times New Roman" w:cs="Times New Roman"/>
          <w:sz w:val="28"/>
          <w:szCs w:val="28"/>
        </w:rPr>
        <w:t>признании</w:t>
      </w:r>
      <w:proofErr w:type="gramEnd"/>
      <w:r>
        <w:rPr>
          <w:rFonts w:ascii="Times New Roman" w:eastAsia="Times New Roman" w:hAnsi="Times New Roman" w:cs="Times New Roman"/>
          <w:sz w:val="28"/>
          <w:szCs w:val="28"/>
        </w:rPr>
        <w:t xml:space="preserve"> утратившем силу нет). Так, в административных границах городов Саратова, Балаково, Энгельса предельная цена комплекса работ по проведению территориального землеустройства земельных участков составляет 3000 руб. и 2500 руб. – за каждый из двух и более смежных земельных участков одновременно. </w:t>
      </w:r>
    </w:p>
    <w:p w:rsidR="009C6738" w:rsidRDefault="00BE213F">
      <w:pPr>
        <w:spacing w:after="0" w:line="240" w:lineRule="auto"/>
        <w:ind w:firstLine="708"/>
        <w:jc w:val="both"/>
        <w:rPr>
          <w:rFonts w:ascii="Times New Roman" w:hAnsi="Times New Roman" w:cs="Times New Roman"/>
          <w:b/>
          <w:bCs/>
          <w:sz w:val="28"/>
          <w:szCs w:val="28"/>
        </w:rPr>
      </w:pPr>
      <w:r>
        <w:rPr>
          <w:rFonts w:ascii="Times New Roman" w:eastAsia="Times New Roman" w:hAnsi="Times New Roman" w:cs="Times New Roman"/>
          <w:sz w:val="28"/>
          <w:szCs w:val="28"/>
        </w:rPr>
        <w:t>Вместе с тем, установление предельной цены проведения кадастровых работ по оформлению документов для осуществления государственного кадастрового учета «бытовой недвижимости» в совокупности с освещением данного законопроекта в СМИ позволит заинтересовать граждан оформить права на незарегистрированные ранее объекты недвижимости.</w:t>
      </w:r>
    </w:p>
    <w:p w:rsidR="009C6738" w:rsidRDefault="009C6738">
      <w:pPr>
        <w:spacing w:after="0" w:line="240" w:lineRule="auto"/>
        <w:rPr>
          <w:rFonts w:ascii="Times New Roman" w:hAnsi="Times New Roman" w:cs="Times New Roman"/>
        </w:rPr>
      </w:pPr>
    </w:p>
    <w:sectPr w:rsidR="009C673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810" w:rsidRDefault="00F61810">
      <w:pPr>
        <w:spacing w:after="0" w:line="240" w:lineRule="auto"/>
      </w:pPr>
      <w:r>
        <w:separator/>
      </w:r>
    </w:p>
  </w:endnote>
  <w:endnote w:type="continuationSeparator" w:id="0">
    <w:p w:rsidR="00F61810" w:rsidRDefault="00F61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ource Han Sans CN Regular">
    <w:charset w:val="00"/>
    <w:family w:val="auto"/>
    <w:pitch w:val="default"/>
  </w:font>
  <w:font w:name="'PT Astra Serif'">
    <w:altName w:val="Times New Roman"/>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810" w:rsidRDefault="00F61810">
      <w:pPr>
        <w:spacing w:after="0" w:line="240" w:lineRule="auto"/>
      </w:pPr>
      <w:r>
        <w:separator/>
      </w:r>
    </w:p>
  </w:footnote>
  <w:footnote w:type="continuationSeparator" w:id="0">
    <w:p w:rsidR="00F61810" w:rsidRDefault="00F618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0427"/>
    <w:multiLevelType w:val="hybridMultilevel"/>
    <w:tmpl w:val="0BB0DFCA"/>
    <w:lvl w:ilvl="0" w:tplc="CB6C9BEC">
      <w:start w:val="1"/>
      <w:numFmt w:val="decimal"/>
      <w:lvlText w:val="%1."/>
      <w:lvlJc w:val="left"/>
      <w:pPr>
        <w:ind w:left="709" w:hanging="360"/>
      </w:pPr>
    </w:lvl>
    <w:lvl w:ilvl="1" w:tplc="2B70D122">
      <w:start w:val="1"/>
      <w:numFmt w:val="lowerLetter"/>
      <w:lvlText w:val="%2."/>
      <w:lvlJc w:val="left"/>
      <w:pPr>
        <w:ind w:left="1429" w:hanging="360"/>
      </w:pPr>
    </w:lvl>
    <w:lvl w:ilvl="2" w:tplc="81227C52">
      <w:start w:val="1"/>
      <w:numFmt w:val="lowerRoman"/>
      <w:lvlText w:val="%3."/>
      <w:lvlJc w:val="right"/>
      <w:pPr>
        <w:ind w:left="2149" w:hanging="180"/>
      </w:pPr>
    </w:lvl>
    <w:lvl w:ilvl="3" w:tplc="B38200C2">
      <w:start w:val="1"/>
      <w:numFmt w:val="decimal"/>
      <w:lvlText w:val="%4."/>
      <w:lvlJc w:val="left"/>
      <w:pPr>
        <w:ind w:left="2869" w:hanging="360"/>
      </w:pPr>
    </w:lvl>
    <w:lvl w:ilvl="4" w:tplc="4F328E7E">
      <w:start w:val="1"/>
      <w:numFmt w:val="lowerLetter"/>
      <w:lvlText w:val="%5."/>
      <w:lvlJc w:val="left"/>
      <w:pPr>
        <w:ind w:left="3589" w:hanging="360"/>
      </w:pPr>
    </w:lvl>
    <w:lvl w:ilvl="5" w:tplc="08F64052">
      <w:start w:val="1"/>
      <w:numFmt w:val="lowerRoman"/>
      <w:lvlText w:val="%6."/>
      <w:lvlJc w:val="right"/>
      <w:pPr>
        <w:ind w:left="4309" w:hanging="180"/>
      </w:pPr>
    </w:lvl>
    <w:lvl w:ilvl="6" w:tplc="FDFE90BA">
      <w:start w:val="1"/>
      <w:numFmt w:val="decimal"/>
      <w:lvlText w:val="%7."/>
      <w:lvlJc w:val="left"/>
      <w:pPr>
        <w:ind w:left="5029" w:hanging="360"/>
      </w:pPr>
    </w:lvl>
    <w:lvl w:ilvl="7" w:tplc="CE1488EE">
      <w:start w:val="1"/>
      <w:numFmt w:val="lowerLetter"/>
      <w:lvlText w:val="%8."/>
      <w:lvlJc w:val="left"/>
      <w:pPr>
        <w:ind w:left="5749" w:hanging="360"/>
      </w:pPr>
    </w:lvl>
    <w:lvl w:ilvl="8" w:tplc="9BF0AF58">
      <w:start w:val="1"/>
      <w:numFmt w:val="lowerRoman"/>
      <w:lvlText w:val="%9."/>
      <w:lvlJc w:val="right"/>
      <w:pPr>
        <w:ind w:left="6469" w:hanging="180"/>
      </w:pPr>
    </w:lvl>
  </w:abstractNum>
  <w:abstractNum w:abstractNumId="1">
    <w:nsid w:val="0D0B0136"/>
    <w:multiLevelType w:val="hybridMultilevel"/>
    <w:tmpl w:val="4E14B850"/>
    <w:lvl w:ilvl="0" w:tplc="5F4C855A">
      <w:start w:val="1"/>
      <w:numFmt w:val="decimal"/>
      <w:lvlText w:val="%1."/>
      <w:lvlJc w:val="left"/>
      <w:pPr>
        <w:ind w:left="1418" w:hanging="360"/>
      </w:pPr>
    </w:lvl>
    <w:lvl w:ilvl="1" w:tplc="600E89CC">
      <w:start w:val="1"/>
      <w:numFmt w:val="lowerLetter"/>
      <w:lvlText w:val="%2."/>
      <w:lvlJc w:val="left"/>
      <w:pPr>
        <w:ind w:left="2138" w:hanging="360"/>
      </w:pPr>
    </w:lvl>
    <w:lvl w:ilvl="2" w:tplc="DD709B5C">
      <w:start w:val="1"/>
      <w:numFmt w:val="lowerRoman"/>
      <w:lvlText w:val="%3."/>
      <w:lvlJc w:val="right"/>
      <w:pPr>
        <w:ind w:left="2858" w:hanging="180"/>
      </w:pPr>
    </w:lvl>
    <w:lvl w:ilvl="3" w:tplc="9A3C7778">
      <w:start w:val="1"/>
      <w:numFmt w:val="decimal"/>
      <w:lvlText w:val="%4."/>
      <w:lvlJc w:val="left"/>
      <w:pPr>
        <w:ind w:left="3578" w:hanging="360"/>
      </w:pPr>
    </w:lvl>
    <w:lvl w:ilvl="4" w:tplc="C57818E6">
      <w:start w:val="1"/>
      <w:numFmt w:val="lowerLetter"/>
      <w:lvlText w:val="%5."/>
      <w:lvlJc w:val="left"/>
      <w:pPr>
        <w:ind w:left="4298" w:hanging="360"/>
      </w:pPr>
    </w:lvl>
    <w:lvl w:ilvl="5" w:tplc="ADAE5AB8">
      <w:start w:val="1"/>
      <w:numFmt w:val="lowerRoman"/>
      <w:lvlText w:val="%6."/>
      <w:lvlJc w:val="right"/>
      <w:pPr>
        <w:ind w:left="5018" w:hanging="180"/>
      </w:pPr>
    </w:lvl>
    <w:lvl w:ilvl="6" w:tplc="BF746F1E">
      <w:start w:val="1"/>
      <w:numFmt w:val="decimal"/>
      <w:lvlText w:val="%7."/>
      <w:lvlJc w:val="left"/>
      <w:pPr>
        <w:ind w:left="5738" w:hanging="360"/>
      </w:pPr>
    </w:lvl>
    <w:lvl w:ilvl="7" w:tplc="54F6D460">
      <w:start w:val="1"/>
      <w:numFmt w:val="lowerLetter"/>
      <w:lvlText w:val="%8."/>
      <w:lvlJc w:val="left"/>
      <w:pPr>
        <w:ind w:left="6458" w:hanging="360"/>
      </w:pPr>
    </w:lvl>
    <w:lvl w:ilvl="8" w:tplc="0D32AEC6">
      <w:start w:val="1"/>
      <w:numFmt w:val="lowerRoman"/>
      <w:lvlText w:val="%9."/>
      <w:lvlJc w:val="right"/>
      <w:pPr>
        <w:ind w:left="7178" w:hanging="180"/>
      </w:pPr>
    </w:lvl>
  </w:abstractNum>
  <w:abstractNum w:abstractNumId="2">
    <w:nsid w:val="1EC34FB2"/>
    <w:multiLevelType w:val="hybridMultilevel"/>
    <w:tmpl w:val="657E25C8"/>
    <w:lvl w:ilvl="0" w:tplc="CD7A6496">
      <w:start w:val="1"/>
      <w:numFmt w:val="bullet"/>
      <w:lvlText w:val="–"/>
      <w:lvlJc w:val="left"/>
      <w:pPr>
        <w:ind w:left="1985" w:hanging="360"/>
      </w:pPr>
      <w:rPr>
        <w:rFonts w:ascii="Arial" w:eastAsia="Arial" w:hAnsi="Arial" w:cs="Arial" w:hint="default"/>
      </w:rPr>
    </w:lvl>
    <w:lvl w:ilvl="1" w:tplc="5B7AB000">
      <w:start w:val="1"/>
      <w:numFmt w:val="bullet"/>
      <w:lvlText w:val="o"/>
      <w:lvlJc w:val="left"/>
      <w:pPr>
        <w:ind w:left="2705" w:hanging="360"/>
      </w:pPr>
      <w:rPr>
        <w:rFonts w:ascii="Courier New" w:eastAsia="Courier New" w:hAnsi="Courier New" w:cs="Courier New" w:hint="default"/>
      </w:rPr>
    </w:lvl>
    <w:lvl w:ilvl="2" w:tplc="8924AD3E">
      <w:start w:val="1"/>
      <w:numFmt w:val="bullet"/>
      <w:lvlText w:val="§"/>
      <w:lvlJc w:val="left"/>
      <w:pPr>
        <w:ind w:left="3425" w:hanging="360"/>
      </w:pPr>
      <w:rPr>
        <w:rFonts w:ascii="Wingdings" w:eastAsia="Wingdings" w:hAnsi="Wingdings" w:cs="Wingdings" w:hint="default"/>
      </w:rPr>
    </w:lvl>
    <w:lvl w:ilvl="3" w:tplc="C7D4BC54">
      <w:start w:val="1"/>
      <w:numFmt w:val="bullet"/>
      <w:lvlText w:val="·"/>
      <w:lvlJc w:val="left"/>
      <w:pPr>
        <w:ind w:left="4145" w:hanging="360"/>
      </w:pPr>
      <w:rPr>
        <w:rFonts w:ascii="Symbol" w:eastAsia="Symbol" w:hAnsi="Symbol" w:cs="Symbol" w:hint="default"/>
      </w:rPr>
    </w:lvl>
    <w:lvl w:ilvl="4" w:tplc="570A7ACE">
      <w:start w:val="1"/>
      <w:numFmt w:val="bullet"/>
      <w:lvlText w:val="o"/>
      <w:lvlJc w:val="left"/>
      <w:pPr>
        <w:ind w:left="4865" w:hanging="360"/>
      </w:pPr>
      <w:rPr>
        <w:rFonts w:ascii="Courier New" w:eastAsia="Courier New" w:hAnsi="Courier New" w:cs="Courier New" w:hint="default"/>
      </w:rPr>
    </w:lvl>
    <w:lvl w:ilvl="5" w:tplc="D73A86A8">
      <w:start w:val="1"/>
      <w:numFmt w:val="bullet"/>
      <w:lvlText w:val="§"/>
      <w:lvlJc w:val="left"/>
      <w:pPr>
        <w:ind w:left="5585" w:hanging="360"/>
      </w:pPr>
      <w:rPr>
        <w:rFonts w:ascii="Wingdings" w:eastAsia="Wingdings" w:hAnsi="Wingdings" w:cs="Wingdings" w:hint="default"/>
      </w:rPr>
    </w:lvl>
    <w:lvl w:ilvl="6" w:tplc="697E8F14">
      <w:start w:val="1"/>
      <w:numFmt w:val="bullet"/>
      <w:lvlText w:val="·"/>
      <w:lvlJc w:val="left"/>
      <w:pPr>
        <w:ind w:left="6305" w:hanging="360"/>
      </w:pPr>
      <w:rPr>
        <w:rFonts w:ascii="Symbol" w:eastAsia="Symbol" w:hAnsi="Symbol" w:cs="Symbol" w:hint="default"/>
      </w:rPr>
    </w:lvl>
    <w:lvl w:ilvl="7" w:tplc="6268B352">
      <w:start w:val="1"/>
      <w:numFmt w:val="bullet"/>
      <w:lvlText w:val="o"/>
      <w:lvlJc w:val="left"/>
      <w:pPr>
        <w:ind w:left="7025" w:hanging="360"/>
      </w:pPr>
      <w:rPr>
        <w:rFonts w:ascii="Courier New" w:eastAsia="Courier New" w:hAnsi="Courier New" w:cs="Courier New" w:hint="default"/>
      </w:rPr>
    </w:lvl>
    <w:lvl w:ilvl="8" w:tplc="E310A0BE">
      <w:start w:val="1"/>
      <w:numFmt w:val="bullet"/>
      <w:lvlText w:val="§"/>
      <w:lvlJc w:val="left"/>
      <w:pPr>
        <w:ind w:left="7745" w:hanging="360"/>
      </w:pPr>
      <w:rPr>
        <w:rFonts w:ascii="Wingdings" w:eastAsia="Wingdings" w:hAnsi="Wingdings" w:cs="Wingdings" w:hint="default"/>
      </w:rPr>
    </w:lvl>
  </w:abstractNum>
  <w:abstractNum w:abstractNumId="3">
    <w:nsid w:val="250B5019"/>
    <w:multiLevelType w:val="hybridMultilevel"/>
    <w:tmpl w:val="20C0ED30"/>
    <w:lvl w:ilvl="0" w:tplc="D9D43150">
      <w:start w:val="1"/>
      <w:numFmt w:val="bullet"/>
      <w:lvlText w:val="–"/>
      <w:lvlJc w:val="left"/>
      <w:pPr>
        <w:ind w:left="1418" w:hanging="360"/>
      </w:pPr>
      <w:rPr>
        <w:rFonts w:ascii="Arial" w:eastAsia="Arial" w:hAnsi="Arial" w:cs="Arial" w:hint="default"/>
      </w:rPr>
    </w:lvl>
    <w:lvl w:ilvl="1" w:tplc="322408C6">
      <w:start w:val="1"/>
      <w:numFmt w:val="bullet"/>
      <w:lvlText w:val="o"/>
      <w:lvlJc w:val="left"/>
      <w:pPr>
        <w:ind w:left="2138" w:hanging="360"/>
      </w:pPr>
      <w:rPr>
        <w:rFonts w:ascii="Courier New" w:eastAsia="Courier New" w:hAnsi="Courier New" w:cs="Courier New" w:hint="default"/>
      </w:rPr>
    </w:lvl>
    <w:lvl w:ilvl="2" w:tplc="0F185E6A">
      <w:start w:val="1"/>
      <w:numFmt w:val="bullet"/>
      <w:lvlText w:val="§"/>
      <w:lvlJc w:val="left"/>
      <w:pPr>
        <w:ind w:left="2858" w:hanging="360"/>
      </w:pPr>
      <w:rPr>
        <w:rFonts w:ascii="Wingdings" w:eastAsia="Wingdings" w:hAnsi="Wingdings" w:cs="Wingdings" w:hint="default"/>
      </w:rPr>
    </w:lvl>
    <w:lvl w:ilvl="3" w:tplc="8542CB66">
      <w:start w:val="1"/>
      <w:numFmt w:val="bullet"/>
      <w:lvlText w:val="·"/>
      <w:lvlJc w:val="left"/>
      <w:pPr>
        <w:ind w:left="3578" w:hanging="360"/>
      </w:pPr>
      <w:rPr>
        <w:rFonts w:ascii="Symbol" w:eastAsia="Symbol" w:hAnsi="Symbol" w:cs="Symbol" w:hint="default"/>
      </w:rPr>
    </w:lvl>
    <w:lvl w:ilvl="4" w:tplc="C5F83532">
      <w:start w:val="1"/>
      <w:numFmt w:val="bullet"/>
      <w:lvlText w:val="o"/>
      <w:lvlJc w:val="left"/>
      <w:pPr>
        <w:ind w:left="4298" w:hanging="360"/>
      </w:pPr>
      <w:rPr>
        <w:rFonts w:ascii="Courier New" w:eastAsia="Courier New" w:hAnsi="Courier New" w:cs="Courier New" w:hint="default"/>
      </w:rPr>
    </w:lvl>
    <w:lvl w:ilvl="5" w:tplc="25A4547C">
      <w:start w:val="1"/>
      <w:numFmt w:val="bullet"/>
      <w:lvlText w:val="§"/>
      <w:lvlJc w:val="left"/>
      <w:pPr>
        <w:ind w:left="5018" w:hanging="360"/>
      </w:pPr>
      <w:rPr>
        <w:rFonts w:ascii="Wingdings" w:eastAsia="Wingdings" w:hAnsi="Wingdings" w:cs="Wingdings" w:hint="default"/>
      </w:rPr>
    </w:lvl>
    <w:lvl w:ilvl="6" w:tplc="827EA7D0">
      <w:start w:val="1"/>
      <w:numFmt w:val="bullet"/>
      <w:lvlText w:val="·"/>
      <w:lvlJc w:val="left"/>
      <w:pPr>
        <w:ind w:left="5738" w:hanging="360"/>
      </w:pPr>
      <w:rPr>
        <w:rFonts w:ascii="Symbol" w:eastAsia="Symbol" w:hAnsi="Symbol" w:cs="Symbol" w:hint="default"/>
      </w:rPr>
    </w:lvl>
    <w:lvl w:ilvl="7" w:tplc="67D4B1F4">
      <w:start w:val="1"/>
      <w:numFmt w:val="bullet"/>
      <w:lvlText w:val="o"/>
      <w:lvlJc w:val="left"/>
      <w:pPr>
        <w:ind w:left="6458" w:hanging="360"/>
      </w:pPr>
      <w:rPr>
        <w:rFonts w:ascii="Courier New" w:eastAsia="Courier New" w:hAnsi="Courier New" w:cs="Courier New" w:hint="default"/>
      </w:rPr>
    </w:lvl>
    <w:lvl w:ilvl="8" w:tplc="4E9E93C8">
      <w:start w:val="1"/>
      <w:numFmt w:val="bullet"/>
      <w:lvlText w:val="§"/>
      <w:lvlJc w:val="left"/>
      <w:pPr>
        <w:ind w:left="7178" w:hanging="360"/>
      </w:pPr>
      <w:rPr>
        <w:rFonts w:ascii="Wingdings" w:eastAsia="Wingdings" w:hAnsi="Wingdings" w:cs="Wingdings" w:hint="default"/>
      </w:rPr>
    </w:lvl>
  </w:abstractNum>
  <w:abstractNum w:abstractNumId="4">
    <w:nsid w:val="2694232B"/>
    <w:multiLevelType w:val="hybridMultilevel"/>
    <w:tmpl w:val="C3DE8D84"/>
    <w:lvl w:ilvl="0" w:tplc="959C2A96">
      <w:start w:val="1"/>
      <w:numFmt w:val="bullet"/>
      <w:lvlText w:val="–"/>
      <w:lvlJc w:val="left"/>
      <w:pPr>
        <w:ind w:left="720" w:hanging="360"/>
      </w:pPr>
      <w:rPr>
        <w:rFonts w:ascii="Arial" w:eastAsia="Arial" w:hAnsi="Arial" w:cs="Arial"/>
      </w:rPr>
    </w:lvl>
    <w:lvl w:ilvl="1" w:tplc="0A48C6E8">
      <w:start w:val="1"/>
      <w:numFmt w:val="bullet"/>
      <w:lvlText w:val="o"/>
      <w:lvlJc w:val="left"/>
      <w:pPr>
        <w:ind w:left="1440" w:hanging="360"/>
      </w:pPr>
      <w:rPr>
        <w:rFonts w:ascii="Courier New" w:eastAsia="Courier New" w:hAnsi="Courier New" w:cs="Courier New" w:hint="default"/>
      </w:rPr>
    </w:lvl>
    <w:lvl w:ilvl="2" w:tplc="4DB0E0BA">
      <w:start w:val="1"/>
      <w:numFmt w:val="bullet"/>
      <w:lvlText w:val="§"/>
      <w:lvlJc w:val="left"/>
      <w:pPr>
        <w:ind w:left="2160" w:hanging="360"/>
      </w:pPr>
      <w:rPr>
        <w:rFonts w:ascii="Wingdings" w:eastAsia="Wingdings" w:hAnsi="Wingdings" w:cs="Wingdings" w:hint="default"/>
      </w:rPr>
    </w:lvl>
    <w:lvl w:ilvl="3" w:tplc="D8EECB78">
      <w:start w:val="1"/>
      <w:numFmt w:val="bullet"/>
      <w:lvlText w:val="·"/>
      <w:lvlJc w:val="left"/>
      <w:pPr>
        <w:ind w:left="2880" w:hanging="360"/>
      </w:pPr>
      <w:rPr>
        <w:rFonts w:ascii="Symbol" w:eastAsia="Symbol" w:hAnsi="Symbol" w:cs="Symbol" w:hint="default"/>
      </w:rPr>
    </w:lvl>
    <w:lvl w:ilvl="4" w:tplc="645C9296">
      <w:start w:val="1"/>
      <w:numFmt w:val="bullet"/>
      <w:lvlText w:val="o"/>
      <w:lvlJc w:val="left"/>
      <w:pPr>
        <w:ind w:left="3600" w:hanging="360"/>
      </w:pPr>
      <w:rPr>
        <w:rFonts w:ascii="Courier New" w:eastAsia="Courier New" w:hAnsi="Courier New" w:cs="Courier New" w:hint="default"/>
      </w:rPr>
    </w:lvl>
    <w:lvl w:ilvl="5" w:tplc="0DB89F60">
      <w:start w:val="1"/>
      <w:numFmt w:val="bullet"/>
      <w:lvlText w:val="§"/>
      <w:lvlJc w:val="left"/>
      <w:pPr>
        <w:ind w:left="4320" w:hanging="360"/>
      </w:pPr>
      <w:rPr>
        <w:rFonts w:ascii="Wingdings" w:eastAsia="Wingdings" w:hAnsi="Wingdings" w:cs="Wingdings" w:hint="default"/>
      </w:rPr>
    </w:lvl>
    <w:lvl w:ilvl="6" w:tplc="C45A388A">
      <w:start w:val="1"/>
      <w:numFmt w:val="bullet"/>
      <w:lvlText w:val="·"/>
      <w:lvlJc w:val="left"/>
      <w:pPr>
        <w:ind w:left="5040" w:hanging="360"/>
      </w:pPr>
      <w:rPr>
        <w:rFonts w:ascii="Symbol" w:eastAsia="Symbol" w:hAnsi="Symbol" w:cs="Symbol" w:hint="default"/>
      </w:rPr>
    </w:lvl>
    <w:lvl w:ilvl="7" w:tplc="4D9E0374">
      <w:start w:val="1"/>
      <w:numFmt w:val="bullet"/>
      <w:lvlText w:val="o"/>
      <w:lvlJc w:val="left"/>
      <w:pPr>
        <w:ind w:left="5760" w:hanging="360"/>
      </w:pPr>
      <w:rPr>
        <w:rFonts w:ascii="Courier New" w:eastAsia="Courier New" w:hAnsi="Courier New" w:cs="Courier New" w:hint="default"/>
      </w:rPr>
    </w:lvl>
    <w:lvl w:ilvl="8" w:tplc="F40C1020">
      <w:start w:val="1"/>
      <w:numFmt w:val="bullet"/>
      <w:lvlText w:val="§"/>
      <w:lvlJc w:val="left"/>
      <w:pPr>
        <w:ind w:left="6480" w:hanging="360"/>
      </w:pPr>
      <w:rPr>
        <w:rFonts w:ascii="Wingdings" w:eastAsia="Wingdings" w:hAnsi="Wingdings" w:cs="Wingdings" w:hint="default"/>
      </w:rPr>
    </w:lvl>
  </w:abstractNum>
  <w:abstractNum w:abstractNumId="5">
    <w:nsid w:val="5FFB7084"/>
    <w:multiLevelType w:val="hybridMultilevel"/>
    <w:tmpl w:val="AC222240"/>
    <w:lvl w:ilvl="0" w:tplc="741A84A8">
      <w:start w:val="1"/>
      <w:numFmt w:val="bullet"/>
      <w:lvlText w:val="–"/>
      <w:lvlJc w:val="left"/>
      <w:pPr>
        <w:ind w:left="720" w:hanging="360"/>
      </w:pPr>
      <w:rPr>
        <w:rFonts w:ascii="Arial" w:eastAsia="Arial" w:hAnsi="Arial" w:cs="Arial"/>
      </w:rPr>
    </w:lvl>
    <w:lvl w:ilvl="1" w:tplc="B76C1D1C">
      <w:start w:val="1"/>
      <w:numFmt w:val="bullet"/>
      <w:lvlText w:val="o"/>
      <w:lvlJc w:val="left"/>
      <w:pPr>
        <w:ind w:left="1440" w:hanging="360"/>
      </w:pPr>
      <w:rPr>
        <w:rFonts w:ascii="Courier New" w:eastAsia="Courier New" w:hAnsi="Courier New" w:cs="Courier New" w:hint="default"/>
      </w:rPr>
    </w:lvl>
    <w:lvl w:ilvl="2" w:tplc="15FA75C8">
      <w:start w:val="1"/>
      <w:numFmt w:val="bullet"/>
      <w:lvlText w:val="§"/>
      <w:lvlJc w:val="left"/>
      <w:pPr>
        <w:ind w:left="2160" w:hanging="360"/>
      </w:pPr>
      <w:rPr>
        <w:rFonts w:ascii="Wingdings" w:eastAsia="Wingdings" w:hAnsi="Wingdings" w:cs="Wingdings" w:hint="default"/>
      </w:rPr>
    </w:lvl>
    <w:lvl w:ilvl="3" w:tplc="F2203F7A">
      <w:start w:val="1"/>
      <w:numFmt w:val="bullet"/>
      <w:lvlText w:val="·"/>
      <w:lvlJc w:val="left"/>
      <w:pPr>
        <w:ind w:left="2880" w:hanging="360"/>
      </w:pPr>
      <w:rPr>
        <w:rFonts w:ascii="Symbol" w:eastAsia="Symbol" w:hAnsi="Symbol" w:cs="Symbol" w:hint="default"/>
      </w:rPr>
    </w:lvl>
    <w:lvl w:ilvl="4" w:tplc="AFF2541E">
      <w:start w:val="1"/>
      <w:numFmt w:val="bullet"/>
      <w:lvlText w:val="o"/>
      <w:lvlJc w:val="left"/>
      <w:pPr>
        <w:ind w:left="3600" w:hanging="360"/>
      </w:pPr>
      <w:rPr>
        <w:rFonts w:ascii="Courier New" w:eastAsia="Courier New" w:hAnsi="Courier New" w:cs="Courier New" w:hint="default"/>
      </w:rPr>
    </w:lvl>
    <w:lvl w:ilvl="5" w:tplc="9B88324C">
      <w:start w:val="1"/>
      <w:numFmt w:val="bullet"/>
      <w:lvlText w:val="§"/>
      <w:lvlJc w:val="left"/>
      <w:pPr>
        <w:ind w:left="4320" w:hanging="360"/>
      </w:pPr>
      <w:rPr>
        <w:rFonts w:ascii="Wingdings" w:eastAsia="Wingdings" w:hAnsi="Wingdings" w:cs="Wingdings" w:hint="default"/>
      </w:rPr>
    </w:lvl>
    <w:lvl w:ilvl="6" w:tplc="F5F425E0">
      <w:start w:val="1"/>
      <w:numFmt w:val="bullet"/>
      <w:lvlText w:val="·"/>
      <w:lvlJc w:val="left"/>
      <w:pPr>
        <w:ind w:left="5040" w:hanging="360"/>
      </w:pPr>
      <w:rPr>
        <w:rFonts w:ascii="Symbol" w:eastAsia="Symbol" w:hAnsi="Symbol" w:cs="Symbol" w:hint="default"/>
      </w:rPr>
    </w:lvl>
    <w:lvl w:ilvl="7" w:tplc="54D0258E">
      <w:start w:val="1"/>
      <w:numFmt w:val="bullet"/>
      <w:lvlText w:val="o"/>
      <w:lvlJc w:val="left"/>
      <w:pPr>
        <w:ind w:left="5760" w:hanging="360"/>
      </w:pPr>
      <w:rPr>
        <w:rFonts w:ascii="Courier New" w:eastAsia="Courier New" w:hAnsi="Courier New" w:cs="Courier New" w:hint="default"/>
      </w:rPr>
    </w:lvl>
    <w:lvl w:ilvl="8" w:tplc="1452F9B4">
      <w:start w:val="1"/>
      <w:numFmt w:val="bullet"/>
      <w:lvlText w:val="§"/>
      <w:lvlJc w:val="left"/>
      <w:pPr>
        <w:ind w:left="6480" w:hanging="360"/>
      </w:pPr>
      <w:rPr>
        <w:rFonts w:ascii="Wingdings" w:eastAsia="Wingdings" w:hAnsi="Wingdings" w:cs="Wingdings" w:hint="default"/>
      </w:rPr>
    </w:lvl>
  </w:abstractNum>
  <w:abstractNum w:abstractNumId="6">
    <w:nsid w:val="66EC4516"/>
    <w:multiLevelType w:val="hybridMultilevel"/>
    <w:tmpl w:val="3452A188"/>
    <w:lvl w:ilvl="0" w:tplc="6B6ED85C">
      <w:start w:val="1"/>
      <w:numFmt w:val="bullet"/>
      <w:lvlText w:val="–"/>
      <w:lvlJc w:val="left"/>
      <w:pPr>
        <w:ind w:left="1418" w:hanging="360"/>
      </w:pPr>
      <w:rPr>
        <w:rFonts w:ascii="Arial" w:eastAsia="Arial" w:hAnsi="Arial" w:cs="Arial" w:hint="default"/>
      </w:rPr>
    </w:lvl>
    <w:lvl w:ilvl="1" w:tplc="CAC21872">
      <w:start w:val="1"/>
      <w:numFmt w:val="bullet"/>
      <w:lvlText w:val="o"/>
      <w:lvlJc w:val="left"/>
      <w:pPr>
        <w:ind w:left="2138" w:hanging="360"/>
      </w:pPr>
      <w:rPr>
        <w:rFonts w:ascii="Courier New" w:eastAsia="Courier New" w:hAnsi="Courier New" w:cs="Courier New" w:hint="default"/>
      </w:rPr>
    </w:lvl>
    <w:lvl w:ilvl="2" w:tplc="346C76A2">
      <w:start w:val="1"/>
      <w:numFmt w:val="bullet"/>
      <w:lvlText w:val="§"/>
      <w:lvlJc w:val="left"/>
      <w:pPr>
        <w:ind w:left="2858" w:hanging="360"/>
      </w:pPr>
      <w:rPr>
        <w:rFonts w:ascii="Wingdings" w:eastAsia="Wingdings" w:hAnsi="Wingdings" w:cs="Wingdings" w:hint="default"/>
      </w:rPr>
    </w:lvl>
    <w:lvl w:ilvl="3" w:tplc="B9EE948E">
      <w:start w:val="1"/>
      <w:numFmt w:val="bullet"/>
      <w:lvlText w:val="·"/>
      <w:lvlJc w:val="left"/>
      <w:pPr>
        <w:ind w:left="3578" w:hanging="360"/>
      </w:pPr>
      <w:rPr>
        <w:rFonts w:ascii="Symbol" w:eastAsia="Symbol" w:hAnsi="Symbol" w:cs="Symbol" w:hint="default"/>
      </w:rPr>
    </w:lvl>
    <w:lvl w:ilvl="4" w:tplc="8B06F434">
      <w:start w:val="1"/>
      <w:numFmt w:val="bullet"/>
      <w:lvlText w:val="o"/>
      <w:lvlJc w:val="left"/>
      <w:pPr>
        <w:ind w:left="4298" w:hanging="360"/>
      </w:pPr>
      <w:rPr>
        <w:rFonts w:ascii="Courier New" w:eastAsia="Courier New" w:hAnsi="Courier New" w:cs="Courier New" w:hint="default"/>
      </w:rPr>
    </w:lvl>
    <w:lvl w:ilvl="5" w:tplc="1D64EB6C">
      <w:start w:val="1"/>
      <w:numFmt w:val="bullet"/>
      <w:lvlText w:val="§"/>
      <w:lvlJc w:val="left"/>
      <w:pPr>
        <w:ind w:left="5018" w:hanging="360"/>
      </w:pPr>
      <w:rPr>
        <w:rFonts w:ascii="Wingdings" w:eastAsia="Wingdings" w:hAnsi="Wingdings" w:cs="Wingdings" w:hint="default"/>
      </w:rPr>
    </w:lvl>
    <w:lvl w:ilvl="6" w:tplc="51DE3F30">
      <w:start w:val="1"/>
      <w:numFmt w:val="bullet"/>
      <w:lvlText w:val="·"/>
      <w:lvlJc w:val="left"/>
      <w:pPr>
        <w:ind w:left="5738" w:hanging="360"/>
      </w:pPr>
      <w:rPr>
        <w:rFonts w:ascii="Symbol" w:eastAsia="Symbol" w:hAnsi="Symbol" w:cs="Symbol" w:hint="default"/>
      </w:rPr>
    </w:lvl>
    <w:lvl w:ilvl="7" w:tplc="7BA86BC2">
      <w:start w:val="1"/>
      <w:numFmt w:val="bullet"/>
      <w:lvlText w:val="o"/>
      <w:lvlJc w:val="left"/>
      <w:pPr>
        <w:ind w:left="6458" w:hanging="360"/>
      </w:pPr>
      <w:rPr>
        <w:rFonts w:ascii="Courier New" w:eastAsia="Courier New" w:hAnsi="Courier New" w:cs="Courier New" w:hint="default"/>
      </w:rPr>
    </w:lvl>
    <w:lvl w:ilvl="8" w:tplc="6BC86A9A">
      <w:start w:val="1"/>
      <w:numFmt w:val="bullet"/>
      <w:lvlText w:val="§"/>
      <w:lvlJc w:val="left"/>
      <w:pPr>
        <w:ind w:left="7178" w:hanging="360"/>
      </w:pPr>
      <w:rPr>
        <w:rFonts w:ascii="Wingdings" w:eastAsia="Wingdings" w:hAnsi="Wingdings" w:cs="Wingdings" w:hint="default"/>
      </w:rPr>
    </w:lvl>
  </w:abstractNum>
  <w:abstractNum w:abstractNumId="7">
    <w:nsid w:val="69343AA3"/>
    <w:multiLevelType w:val="hybridMultilevel"/>
    <w:tmpl w:val="6D0A7066"/>
    <w:lvl w:ilvl="0" w:tplc="70DAE376">
      <w:start w:val="1"/>
      <w:numFmt w:val="decimal"/>
      <w:lvlText w:val="%1."/>
      <w:lvlJc w:val="left"/>
      <w:pPr>
        <w:ind w:left="1418" w:hanging="360"/>
      </w:pPr>
    </w:lvl>
    <w:lvl w:ilvl="1" w:tplc="E1D2CFCE">
      <w:start w:val="1"/>
      <w:numFmt w:val="lowerLetter"/>
      <w:lvlText w:val="%2."/>
      <w:lvlJc w:val="left"/>
      <w:pPr>
        <w:ind w:left="2138" w:hanging="360"/>
      </w:pPr>
    </w:lvl>
    <w:lvl w:ilvl="2" w:tplc="BB24EE30">
      <w:start w:val="1"/>
      <w:numFmt w:val="lowerRoman"/>
      <w:lvlText w:val="%3."/>
      <w:lvlJc w:val="right"/>
      <w:pPr>
        <w:ind w:left="2858" w:hanging="180"/>
      </w:pPr>
    </w:lvl>
    <w:lvl w:ilvl="3" w:tplc="6A662F6C">
      <w:start w:val="1"/>
      <w:numFmt w:val="decimal"/>
      <w:lvlText w:val="%4."/>
      <w:lvlJc w:val="left"/>
      <w:pPr>
        <w:ind w:left="3578" w:hanging="360"/>
      </w:pPr>
    </w:lvl>
    <w:lvl w:ilvl="4" w:tplc="A86A8ED8">
      <w:start w:val="1"/>
      <w:numFmt w:val="lowerLetter"/>
      <w:lvlText w:val="%5."/>
      <w:lvlJc w:val="left"/>
      <w:pPr>
        <w:ind w:left="4298" w:hanging="360"/>
      </w:pPr>
    </w:lvl>
    <w:lvl w:ilvl="5" w:tplc="8926E1F0">
      <w:start w:val="1"/>
      <w:numFmt w:val="lowerRoman"/>
      <w:lvlText w:val="%6."/>
      <w:lvlJc w:val="right"/>
      <w:pPr>
        <w:ind w:left="5018" w:hanging="180"/>
      </w:pPr>
    </w:lvl>
    <w:lvl w:ilvl="6" w:tplc="422CE15E">
      <w:start w:val="1"/>
      <w:numFmt w:val="decimal"/>
      <w:lvlText w:val="%7."/>
      <w:lvlJc w:val="left"/>
      <w:pPr>
        <w:ind w:left="5738" w:hanging="360"/>
      </w:pPr>
    </w:lvl>
    <w:lvl w:ilvl="7" w:tplc="8B7ED902">
      <w:start w:val="1"/>
      <w:numFmt w:val="lowerLetter"/>
      <w:lvlText w:val="%8."/>
      <w:lvlJc w:val="left"/>
      <w:pPr>
        <w:ind w:left="6458" w:hanging="360"/>
      </w:pPr>
    </w:lvl>
    <w:lvl w:ilvl="8" w:tplc="B290C2C4">
      <w:start w:val="1"/>
      <w:numFmt w:val="lowerRoman"/>
      <w:lvlText w:val="%9."/>
      <w:lvlJc w:val="right"/>
      <w:pPr>
        <w:ind w:left="7178" w:hanging="180"/>
      </w:pPr>
    </w:lvl>
  </w:abstractNum>
  <w:abstractNum w:abstractNumId="8">
    <w:nsid w:val="73C35BA2"/>
    <w:multiLevelType w:val="hybridMultilevel"/>
    <w:tmpl w:val="3B5E0448"/>
    <w:lvl w:ilvl="0" w:tplc="A6DCC860">
      <w:start w:val="1"/>
      <w:numFmt w:val="decimal"/>
      <w:lvlText w:val="%1."/>
      <w:lvlJc w:val="left"/>
      <w:pPr>
        <w:ind w:left="709" w:hanging="360"/>
      </w:pPr>
    </w:lvl>
    <w:lvl w:ilvl="1" w:tplc="83FE23CA">
      <w:start w:val="1"/>
      <w:numFmt w:val="lowerLetter"/>
      <w:lvlText w:val="%2."/>
      <w:lvlJc w:val="left"/>
      <w:pPr>
        <w:ind w:left="1429" w:hanging="360"/>
      </w:pPr>
    </w:lvl>
    <w:lvl w:ilvl="2" w:tplc="84426492">
      <w:start w:val="1"/>
      <w:numFmt w:val="lowerRoman"/>
      <w:lvlText w:val="%3."/>
      <w:lvlJc w:val="right"/>
      <w:pPr>
        <w:ind w:left="2149" w:hanging="180"/>
      </w:pPr>
    </w:lvl>
    <w:lvl w:ilvl="3" w:tplc="BBA05D38">
      <w:start w:val="1"/>
      <w:numFmt w:val="decimal"/>
      <w:lvlText w:val="%4."/>
      <w:lvlJc w:val="left"/>
      <w:pPr>
        <w:ind w:left="2869" w:hanging="360"/>
      </w:pPr>
    </w:lvl>
    <w:lvl w:ilvl="4" w:tplc="BADC1638">
      <w:start w:val="1"/>
      <w:numFmt w:val="lowerLetter"/>
      <w:lvlText w:val="%5."/>
      <w:lvlJc w:val="left"/>
      <w:pPr>
        <w:ind w:left="3589" w:hanging="360"/>
      </w:pPr>
    </w:lvl>
    <w:lvl w:ilvl="5" w:tplc="B626558E">
      <w:start w:val="1"/>
      <w:numFmt w:val="lowerRoman"/>
      <w:lvlText w:val="%6."/>
      <w:lvlJc w:val="right"/>
      <w:pPr>
        <w:ind w:left="4309" w:hanging="180"/>
      </w:pPr>
    </w:lvl>
    <w:lvl w:ilvl="6" w:tplc="BBA88B9A">
      <w:start w:val="1"/>
      <w:numFmt w:val="decimal"/>
      <w:lvlText w:val="%7."/>
      <w:lvlJc w:val="left"/>
      <w:pPr>
        <w:ind w:left="5029" w:hanging="360"/>
      </w:pPr>
    </w:lvl>
    <w:lvl w:ilvl="7" w:tplc="30AC8836">
      <w:start w:val="1"/>
      <w:numFmt w:val="lowerLetter"/>
      <w:lvlText w:val="%8."/>
      <w:lvlJc w:val="left"/>
      <w:pPr>
        <w:ind w:left="5749" w:hanging="360"/>
      </w:pPr>
    </w:lvl>
    <w:lvl w:ilvl="8" w:tplc="29E6E954">
      <w:start w:val="1"/>
      <w:numFmt w:val="lowerRoman"/>
      <w:lvlText w:val="%9."/>
      <w:lvlJc w:val="right"/>
      <w:pPr>
        <w:ind w:left="6469" w:hanging="180"/>
      </w:pPr>
    </w:lvl>
  </w:abstractNum>
  <w:abstractNum w:abstractNumId="9">
    <w:nsid w:val="7FB527F4"/>
    <w:multiLevelType w:val="hybridMultilevel"/>
    <w:tmpl w:val="F266F684"/>
    <w:lvl w:ilvl="0" w:tplc="CE60BC42">
      <w:start w:val="1"/>
      <w:numFmt w:val="bullet"/>
      <w:lvlText w:val="·"/>
      <w:lvlJc w:val="left"/>
      <w:pPr>
        <w:ind w:left="720" w:hanging="360"/>
      </w:pPr>
      <w:rPr>
        <w:rFonts w:ascii="Symbol" w:eastAsia="Symbol" w:hAnsi="Symbol" w:cs="Symbol" w:hint="default"/>
      </w:rPr>
    </w:lvl>
    <w:lvl w:ilvl="1" w:tplc="D05603A0">
      <w:start w:val="1"/>
      <w:numFmt w:val="bullet"/>
      <w:lvlText w:val="o"/>
      <w:lvlJc w:val="left"/>
      <w:pPr>
        <w:ind w:left="1440" w:hanging="360"/>
      </w:pPr>
      <w:rPr>
        <w:rFonts w:ascii="Courier New" w:eastAsia="Courier New" w:hAnsi="Courier New" w:cs="Courier New" w:hint="default"/>
      </w:rPr>
    </w:lvl>
    <w:lvl w:ilvl="2" w:tplc="69566436">
      <w:start w:val="1"/>
      <w:numFmt w:val="bullet"/>
      <w:lvlText w:val="§"/>
      <w:lvlJc w:val="left"/>
      <w:pPr>
        <w:ind w:left="2160" w:hanging="360"/>
      </w:pPr>
      <w:rPr>
        <w:rFonts w:ascii="Wingdings" w:eastAsia="Wingdings" w:hAnsi="Wingdings" w:cs="Wingdings" w:hint="default"/>
      </w:rPr>
    </w:lvl>
    <w:lvl w:ilvl="3" w:tplc="E9DC2D96">
      <w:start w:val="1"/>
      <w:numFmt w:val="bullet"/>
      <w:lvlText w:val="·"/>
      <w:lvlJc w:val="left"/>
      <w:pPr>
        <w:ind w:left="2880" w:hanging="360"/>
      </w:pPr>
      <w:rPr>
        <w:rFonts w:ascii="Symbol" w:eastAsia="Symbol" w:hAnsi="Symbol" w:cs="Symbol" w:hint="default"/>
      </w:rPr>
    </w:lvl>
    <w:lvl w:ilvl="4" w:tplc="5524CCC6">
      <w:start w:val="1"/>
      <w:numFmt w:val="bullet"/>
      <w:lvlText w:val="o"/>
      <w:lvlJc w:val="left"/>
      <w:pPr>
        <w:ind w:left="3600" w:hanging="360"/>
      </w:pPr>
      <w:rPr>
        <w:rFonts w:ascii="Courier New" w:eastAsia="Courier New" w:hAnsi="Courier New" w:cs="Courier New" w:hint="default"/>
      </w:rPr>
    </w:lvl>
    <w:lvl w:ilvl="5" w:tplc="6B5AFE08">
      <w:start w:val="1"/>
      <w:numFmt w:val="bullet"/>
      <w:lvlText w:val="§"/>
      <w:lvlJc w:val="left"/>
      <w:pPr>
        <w:ind w:left="4320" w:hanging="360"/>
      </w:pPr>
      <w:rPr>
        <w:rFonts w:ascii="Wingdings" w:eastAsia="Wingdings" w:hAnsi="Wingdings" w:cs="Wingdings" w:hint="default"/>
      </w:rPr>
    </w:lvl>
    <w:lvl w:ilvl="6" w:tplc="0186B68C">
      <w:start w:val="1"/>
      <w:numFmt w:val="bullet"/>
      <w:lvlText w:val="·"/>
      <w:lvlJc w:val="left"/>
      <w:pPr>
        <w:ind w:left="5040" w:hanging="360"/>
      </w:pPr>
      <w:rPr>
        <w:rFonts w:ascii="Symbol" w:eastAsia="Symbol" w:hAnsi="Symbol" w:cs="Symbol" w:hint="default"/>
      </w:rPr>
    </w:lvl>
    <w:lvl w:ilvl="7" w:tplc="8DBE3A2A">
      <w:start w:val="1"/>
      <w:numFmt w:val="bullet"/>
      <w:lvlText w:val="o"/>
      <w:lvlJc w:val="left"/>
      <w:pPr>
        <w:ind w:left="5760" w:hanging="360"/>
      </w:pPr>
      <w:rPr>
        <w:rFonts w:ascii="Courier New" w:eastAsia="Courier New" w:hAnsi="Courier New" w:cs="Courier New" w:hint="default"/>
      </w:rPr>
    </w:lvl>
    <w:lvl w:ilvl="8" w:tplc="AD5889FA">
      <w:start w:val="1"/>
      <w:numFmt w:val="bullet"/>
      <w:lvlText w:val="§"/>
      <w:lvlJc w:val="left"/>
      <w:pPr>
        <w:ind w:left="6480" w:hanging="360"/>
      </w:pPr>
      <w:rPr>
        <w:rFonts w:ascii="Wingdings" w:eastAsia="Wingdings" w:hAnsi="Wingdings" w:cs="Wingdings" w:hint="default"/>
      </w:rPr>
    </w:lvl>
  </w:abstractNum>
  <w:num w:numId="1">
    <w:abstractNumId w:val="8"/>
  </w:num>
  <w:num w:numId="2">
    <w:abstractNumId w:val="7"/>
  </w:num>
  <w:num w:numId="3">
    <w:abstractNumId w:val="3"/>
  </w:num>
  <w:num w:numId="4">
    <w:abstractNumId w:val="6"/>
  </w:num>
  <w:num w:numId="5">
    <w:abstractNumId w:val="0"/>
  </w:num>
  <w:num w:numId="6">
    <w:abstractNumId w:val="2"/>
  </w:num>
  <w:num w:numId="7">
    <w:abstractNumId w:val="9"/>
  </w:num>
  <w:num w:numId="8">
    <w:abstractNumId w:val="5"/>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738"/>
    <w:rsid w:val="00592333"/>
    <w:rsid w:val="008E6915"/>
    <w:rsid w:val="009374F1"/>
    <w:rsid w:val="009C6738"/>
    <w:rsid w:val="00BE213F"/>
    <w:rsid w:val="00F61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 w:type="paragraph" w:customStyle="1" w:styleId="Firstlineindent">
    <w:name w:val="First line indent"/>
    <w:qFormat/>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pPr>
    <w:rPr>
      <w:rFonts w:ascii="PT Astra Serif" w:eastAsia="Source Han Sans CN Regular" w:hAnsi="PT Astra Serif" w:cs="'PT Astra Serif'"/>
      <w:sz w:val="28"/>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 w:type="paragraph" w:customStyle="1" w:styleId="Firstlineindent">
    <w:name w:val="First line indent"/>
    <w:qFormat/>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pPr>
    <w:rPr>
      <w:rFonts w:ascii="PT Astra Serif" w:eastAsia="Source Han Sans CN Regular" w:hAnsi="PT Astra Serif" w:cs="'PT Astra Serif'"/>
      <w:sz w:val="28"/>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E0E7182BE55F01AE0F220E081B743DC006EE9AA3DE0AEC286D42746B987C9174F7B0AF4FD081F8D9DC615B73744772ED3ABE74CE7A8CB9h279J" TargetMode="External"/><Relationship Id="rId13" Type="http://schemas.openxmlformats.org/officeDocument/2006/relationships/hyperlink" Target="https://login.consultant.ru/link/?req=doc&amp;base=LAW&amp;n=494926&amp;dst=2671"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494926&amp;dst=2654" TargetMode="External"/><Relationship Id="rId17" Type="http://schemas.openxmlformats.org/officeDocument/2006/relationships/hyperlink" Target="https://xn--h1alcedd.xn--d1aqf.xn--p1ai/instructions/vypiska-egrn-kak-rasshifrovyvaetsya-i-dlya-chego-ona-nuzhna/" TargetMode="External"/><Relationship Id="rId2" Type="http://schemas.openxmlformats.org/officeDocument/2006/relationships/styles" Target="styles.xml"/><Relationship Id="rId16" Type="http://schemas.openxmlformats.org/officeDocument/2006/relationships/hyperlink" Target="https://login.consultant.ru/link/?req=doc&amp;base=LAW&amp;n=494926&amp;dst=267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94926&amp;dst=2579"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26&amp;dst=2654" TargetMode="External"/><Relationship Id="rId10" Type="http://schemas.openxmlformats.org/officeDocument/2006/relationships/hyperlink" Target="consultantplus://offline/ref=D8E0E7182BE55F01AE0F220E081B743DC006EE9AA3DE0AEC286D42746B987C9174F7B0AF4FD081FFD4DC615B73744772ED3ABE74CE7A8CB9h279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D8E0E7182BE55F01AE0F220E081B743DC006EE9AA3DE0AEC286D42746B987C9174F7B0AF4FD086FBD4DC615B73744772ED3ABE74CE7A8CB9h279J" TargetMode="External"/><Relationship Id="rId14" Type="http://schemas.openxmlformats.org/officeDocument/2006/relationships/hyperlink" Target="https://login.consultant.ru/link/?req=doc&amp;base=LAW&amp;n=494926&amp;dst=2579" TargetMode="Externa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1993</Words>
  <Characters>11365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Ключникова Кристина Владимировна</dc:creator>
  <cp:lastModifiedBy>Ключникова Кристина Владимировна</cp:lastModifiedBy>
  <cp:revision>2</cp:revision>
  <cp:lastPrinted>2025-09-19T12:03:00Z</cp:lastPrinted>
  <dcterms:created xsi:type="dcterms:W3CDTF">2025-09-19T13:26:00Z</dcterms:created>
  <dcterms:modified xsi:type="dcterms:W3CDTF">2025-09-19T13:26:00Z</dcterms:modified>
</cp:coreProperties>
</file>